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1" w:name="oction-labs-inc.---advisor-term-sheet"/>
    <w:p>
      <w:pPr>
        <w:pStyle w:val="Heading1"/>
      </w:pPr>
      <w:r>
        <w:t>OCTION LABS INC. - ADVISOR TERM SHEET</w:t>
      </w:r>
    </w:p>
    <w:bookmarkStart w:id="20" w:name="X10ab454dc7b24acea02ab8a3d9f26fbbbc248b9"/>
    <w:p>
      <w:pPr>
        <w:pStyle w:val="Heading2"/>
      </w:pPr>
      <w:r>
        <w:t>Jackie - Strategic Advisor (Legal, Compliance, IP Management, Partnerships)</w:t>
      </w:r>
    </w:p>
    <w:p>
      <w:pPr>
        <w:pStyle w:val="FirstParagraph"/>
      </w:pPr>
      <w:r>
        <w:rPr>
          <w:rFonts w:ascii="Times New Roman" w:hAnsi="Times New Roman"/>
          <w:b/>
          <w:bCs/>
          <w:sz w:val="22"/>
        </w:rPr>
        <w:t>Date:</w:t>
      </w:r>
      <w:r>
        <w:rPr>
          <w:rFonts w:ascii="Times New Roman" w:hAnsi="Times New Roman"/>
          <w:sz w:val="22"/>
        </w:rPr>
        <w:t xml:space="preserve"> </w:t>
      </w:r>
      <w:r>
        <w:rPr>
          <w:rFonts w:ascii="Times New Roman" w:hAnsi="Times New Roman"/>
          <w:sz w:val="22"/>
        </w:rPr>
        <w:t>________________</w:t>
      </w:r>
    </w:p>
    <w:p>
      <w:pPr>
        <w:pStyle w:val="BodyText"/>
      </w:pPr>
      <w:r>
        <w:rPr>
          <w:rFonts w:ascii="Times New Roman" w:hAnsi="Times New Roman"/>
          <w:b/>
          <w:bCs/>
          <w:sz w:val="22"/>
        </w:rPr>
        <w:t>Company:</w:t>
      </w:r>
      <w:r>
        <w:rPr>
          <w:rFonts w:ascii="Times New Roman" w:hAnsi="Times New Roman"/>
          <w:sz w:val="22"/>
        </w:rPr>
        <w:t xml:space="preserve"> </w:t>
      </w:r>
      <w:r>
        <w:rPr>
          <w:rFonts w:ascii="Times New Roman" w:hAnsi="Times New Roman"/>
          <w:sz w:val="22"/>
        </w:rPr>
        <w:t>Oction Labs Inc., an Alberta corporation</w:t>
      </w:r>
    </w:p>
    <w:p>
      <w:pPr>
        <w:pStyle w:val="BodyText"/>
      </w:pPr>
      <w:r>
        <w:rPr>
          <w:rFonts w:ascii="Times New Roman" w:hAnsi="Times New Roman"/>
          <w:b/>
          <w:bCs/>
          <w:sz w:val="22"/>
        </w:rPr>
        <w:t>Advisor:</w:t>
      </w:r>
      <w:r>
        <w:rPr>
          <w:rFonts w:ascii="Times New Roman" w:hAnsi="Times New Roman"/>
          <w:sz w:val="22"/>
        </w:rPr>
        <w:t xml:space="preserve"> </w:t>
      </w:r>
      <w:r>
        <w:rPr>
          <w:rFonts w:ascii="Times New Roman" w:hAnsi="Times New Roman"/>
          <w:sz w:val="22"/>
        </w:rPr>
        <w:t>Jackie</w:t>
      </w:r>
    </w:p>
    <w:p>
      <w:pPr>
        <w:pStyle w:val="BodyText"/>
      </w:pPr>
      <w:r>
        <w:rPr>
          <w:rFonts w:ascii="Times New Roman" w:hAnsi="Times New Roman"/>
          <w:b/>
          <w:bCs/>
          <w:sz w:val="22"/>
        </w:rPr>
        <w:t>Advisor Role:</w:t>
      </w:r>
      <w:r>
        <w:rPr>
          <w:rFonts w:ascii="Times New Roman" w:hAnsi="Times New Roman"/>
          <w:sz w:val="22"/>
        </w:rPr>
        <w:t xml:space="preserve"> </w:t>
      </w:r>
      <w:r>
        <w:rPr>
          <w:rFonts w:ascii="Times New Roman" w:hAnsi="Times New Roman"/>
          <w:sz w:val="22"/>
        </w:rPr>
        <w:t>Strategic Advisor</w:t>
      </w:r>
    </w:p>
    <w:p>
      <w:pPr>
        <w:pStyle w:val="BodyText"/>
      </w:pPr>
      <w:r>
        <w:rPr>
          <w:rFonts w:ascii="Times New Roman" w:hAnsi="Times New Roman"/>
          <w:b/>
          <w:bCs/>
          <w:sz w:val="22"/>
        </w:rPr>
        <w:t>Advisor Tax Residence:</w:t>
      </w:r>
      <w:r>
        <w:rPr>
          <w:rFonts w:ascii="Times New Roman" w:hAnsi="Times New Roman"/>
          <w:sz w:val="22"/>
        </w:rPr>
        <w:t xml:space="preserve"> </w:t>
      </w:r>
      <w:r>
        <w:rPr>
          <w:rFonts w:ascii="Times New Roman" w:hAnsi="Times New Roman"/>
          <w:sz w:val="22"/>
        </w:rPr>
        <w:t>United States of America</w:t>
      </w:r>
    </w:p>
    <w:p>
      <w:r>
        <w:rPr>
          <w:rFonts w:ascii="Times New Roman" w:hAnsi="Times New Roman"/>
          <w:sz w:val="22"/>
        </w:rPr>
      </w:r>
    </w:p>
    <w:bookmarkStart w:id="9" w:name="equity-grant"/>
    <w:p>
      <w:pPr>
        <w:pStyle w:val="Heading3"/>
      </w:pPr>
      <w:r>
        <w:t>1. EQUITY GRANT</w:t>
      </w:r>
    </w:p>
    <w:p>
      <w:pPr>
        <w:pStyle w:val="FirstParagraph"/>
      </w:pPr>
      <w:r>
        <w:rPr>
          <w:rFonts w:ascii="Times New Roman" w:hAnsi="Times New Roman"/>
          <w:sz w:val="22"/>
        </w:rPr>
        <w:t>Oction Labs Inc. will grant Jackie common shares equal to</w:t>
      </w:r>
      <w:r>
        <w:rPr>
          <w:rFonts w:ascii="Times New Roman" w:hAnsi="Times New Roman"/>
          <w:sz w:val="22"/>
        </w:rPr>
        <w:t xml:space="preserve"> </w:t>
      </w:r>
      <w:r>
        <w:rPr>
          <w:rFonts w:ascii="Times New Roman" w:hAnsi="Times New Roman"/>
          <w:b/>
          <w:bCs/>
          <w:sz w:val="22"/>
        </w:rPr>
        <w:t>1%</w:t>
      </w:r>
      <w:r>
        <w:rPr>
          <w:rFonts w:ascii="Times New Roman" w:hAnsi="Times New Roman"/>
          <w:sz w:val="22"/>
        </w:rPr>
        <w:t xml:space="preserve"> </w:t>
      </w:r>
      <w:r>
        <w:rPr>
          <w:rFonts w:ascii="Times New Roman" w:hAnsi="Times New Roman"/>
          <w:sz w:val="22"/>
        </w:rPr>
        <w:t>of Oction Labs Inc.'s issued and outstanding equity on a fully diluted basis, as of the effective date.</w:t>
      </w:r>
    </w:p>
    <w:p>
      <w:pPr>
        <w:pStyle w:val="BodyText"/>
      </w:pPr>
      <w:r>
        <w:rPr>
          <w:rFonts w:ascii="Times New Roman" w:hAnsi="Times New Roman"/>
          <w:b/>
          <w:bCs/>
          <w:sz w:val="22"/>
        </w:rPr>
        <w:t>Corporate Separation:</w:t>
      </w:r>
      <w:r>
        <w:rPr>
          <w:rFonts w:ascii="Times New Roman" w:hAnsi="Times New Roman"/>
          <w:sz w:val="22"/>
        </w:rPr>
        <w:t xml:space="preserve"> </w:t>
      </w:r>
      <w:r>
        <w:rPr>
          <w:rFonts w:ascii="Times New Roman" w:hAnsi="Times New Roman"/>
          <w:sz w:val="22"/>
        </w:rPr>
        <w:t>Oction Labs Inc. and any agency, consulting, or service corporation operated separately (collectively, "Separate Entities") are distinct legal entities. The equity grant described in this term sheet is solely in Oction Labs Inc. No commission, fee, or introduction payment from any Separate Entity confers any equity or ownership interest in that Separate Entity.</w:t>
      </w:r>
    </w:p>
    <w:p>
      <w:pPr>
        <w:pStyle w:val="BodyText"/>
      </w:pPr>
      <w:r>
        <w:rPr>
          <w:rFonts w:ascii="Times New Roman" w:hAnsi="Times New Roman"/>
          <w:b/>
          <w:bCs/>
          <w:sz w:val="22"/>
        </w:rPr>
        <w:t>US Securities Law Compliance:</w:t>
      </w:r>
      <w:r>
        <w:rPr>
          <w:rFonts w:ascii="Times New Roman" w:hAnsi="Times New Roman"/>
          <w:sz w:val="22"/>
        </w:rPr>
        <w:t xml:space="preserve"> </w:t>
      </w:r>
      <w:r>
        <w:rPr>
          <w:rFonts w:ascii="Times New Roman" w:hAnsi="Times New Roman"/>
          <w:sz w:val="22"/>
        </w:rPr>
        <w:t>The grant will be structured to comply with an available exemption from registration under the United States Securities Act of 1933, including Regulation D Rule 506(b). Jackie must qualify as an "accredited investor" as defined in Rule 501 and provide reasonable evidence of accredited investor status upon request.</w:t>
      </w:r>
    </w:p>
    <w:p>
      <w:pPr>
        <w:pStyle w:val="BodyText"/>
      </w:pPr>
      <w:r>
        <w:rPr>
          <w:rFonts w:ascii="Times New Roman" w:hAnsi="Times New Roman"/>
          <w:b/>
          <w:bCs/>
          <w:sz w:val="22"/>
        </w:rPr>
        <w:t>Canadian Tax Election:</w:t>
      </w:r>
      <w:r>
        <w:rPr>
          <w:rFonts w:ascii="Times New Roman" w:hAnsi="Times New Roman"/>
          <w:sz w:val="22"/>
        </w:rPr>
        <w:t xml:space="preserve"> </w:t>
      </w:r>
      <w:r>
        <w:rPr>
          <w:rFonts w:ascii="Times New Roman" w:hAnsi="Times New Roman"/>
          <w:sz w:val="22"/>
        </w:rPr>
        <w:t>The parties may elect under section 85 of the Income Tax Act (Canada) on the transfer of property for shares, subject to US tax compatibility and the Advisor obtaining independent US tax advice. The election relates solely to Canadian tax consequences.</w:t>
      </w:r>
    </w:p>
    <w:bookmarkEnd w:id="9"/>
    <w:bookmarkStart w:id="10" w:name="vesting-schedule"/>
    <w:p>
      <w:pPr>
        <w:pStyle w:val="Heading3"/>
      </w:pPr>
      <w:r>
        <w:t>2. VESTING SCHEDULE</w:t>
      </w:r>
    </w:p>
    <w:p>
      <w:pPr>
        <w:pStyle w:val="FirstParagraph"/>
      </w:pPr>
      <w:r>
        <w:rPr>
          <w:rFonts w:ascii="Times New Roman" w:hAnsi="Times New Roman"/>
          <w:sz w:val="22"/>
        </w:rPr>
        <w:t>The grant will vest over</w:t>
      </w:r>
      <w:r>
        <w:rPr>
          <w:rFonts w:ascii="Times New Roman" w:hAnsi="Times New Roman"/>
          <w:sz w:val="22"/>
        </w:rPr>
        <w:t xml:space="preserve"> </w:t>
      </w:r>
      <w:r>
        <w:rPr>
          <w:rFonts w:ascii="Times New Roman" w:hAnsi="Times New Roman"/>
          <w:b/>
          <w:bCs/>
          <w:sz w:val="22"/>
        </w:rPr>
        <w:t>24 months</w:t>
      </w:r>
      <w:r>
        <w:rPr>
          <w:rFonts w:ascii="Times New Roman" w:hAnsi="Times New Roman"/>
          <w:sz w:val="22"/>
        </w:rPr>
        <w:t xml:space="preserve"> </w:t>
      </w:r>
      <w:r>
        <w:rPr>
          <w:rFonts w:ascii="Times New Roman" w:hAnsi="Times New Roman"/>
          <w:sz w:val="22"/>
        </w:rPr>
        <w:t>from the effective date.</w:t>
      </w:r>
    </w:p>
    <w:tbl>
      <w:tblPr>
        <w:tblStyle w:val="Table"/>
        <w:tblW w:type="pct" w:w="5000"/>
        <w:tblLayout w:type="fixed"/>
        <w:tblLook w:firstRow="1" w:lastRow="0" w:firstColumn="0" w:lastColumn="0" w:noHBand="0" w:noVBand="0" w:val="0020"/>
      </w:tblPr>
      <w:tblGrid>
        <w:gridCol w:w="916"/>
        <w:gridCol w:w="1309"/>
        <w:gridCol w:w="5694"/>
      </w:tblGrid>
      <w:tr>
        <w:trPr>
          <w:tblHeader w:val="on"/>
        </w:trPr>
        <w:tc>
          <w:tcPr/>
          <w:p>
            <w:pPr>
              <w:pStyle w:val="Compact"/>
            </w:pPr>
            <w:r>
              <w:t>Tranche</w:t>
            </w:r>
          </w:p>
        </w:tc>
        <w:tc>
          <w:tcPr/>
          <w:p>
            <w:pPr>
              <w:pStyle w:val="Compact"/>
            </w:pPr>
            <w:r>
              <w:t>Percentage</w:t>
            </w:r>
          </w:p>
        </w:tc>
        <w:tc>
          <w:tcPr/>
          <w:p>
            <w:pPr>
              <w:pStyle w:val="Compact"/>
            </w:pPr>
            <w:r>
              <w:t>Vesting Condition</w:t>
            </w:r>
          </w:p>
        </w:tc>
      </w:tr>
      <w:tr>
        <w:tc>
          <w:tcPr/>
          <w:p>
            <w:pPr>
              <w:pStyle w:val="Compact"/>
            </w:pPr>
            <w:r>
              <w:t>Time-based</w:t>
            </w:r>
          </w:p>
        </w:tc>
        <w:tc>
          <w:tcPr/>
          <w:p>
            <w:pPr>
              <w:pStyle w:val="Compact"/>
            </w:pPr>
            <w:r>
              <w:t>0.25% (25% of total)</w:t>
            </w:r>
          </w:p>
        </w:tc>
        <w:tc>
          <w:tcPr/>
          <w:p>
            <w:pPr>
              <w:pStyle w:val="Compact"/>
            </w:pPr>
            <w:r>
              <w:t>Monthly over 24 months (1/24 per month)</w:t>
            </w:r>
          </w:p>
        </w:tc>
      </w:tr>
      <w:tr>
        <w:tc>
          <w:tcPr/>
          <w:p>
            <w:pPr>
              <w:pStyle w:val="Compact"/>
            </w:pPr>
            <w:r>
              <w:t>Milestone 1</w:t>
            </w:r>
          </w:p>
        </w:tc>
        <w:tc>
          <w:tcPr/>
          <w:p>
            <w:pPr>
              <w:pStyle w:val="Compact"/>
            </w:pPr>
            <w:r>
              <w:t>0.1875%</w:t>
            </w:r>
          </w:p>
        </w:tc>
        <w:tc>
          <w:tcPr/>
          <w:p>
            <w:pPr>
              <w:pStyle w:val="Compact"/>
            </w:pPr>
            <w:r>
              <w:t>Delivery of a foundational legal/IP/compliance framework for client deployments</w:t>
            </w:r>
          </w:p>
        </w:tc>
      </w:tr>
      <w:tr>
        <w:tc>
          <w:tcPr/>
          <w:p>
            <w:pPr>
              <w:pStyle w:val="Compact"/>
            </w:pPr>
            <w:r>
              <w:t>Milestone 2</w:t>
            </w:r>
          </w:p>
        </w:tc>
        <w:tc>
          <w:tcPr/>
          <w:p>
            <w:pPr>
              <w:pStyle w:val="Compact"/>
            </w:pPr>
            <w:r>
              <w:t>0.1875%</w:t>
            </w:r>
          </w:p>
        </w:tc>
        <w:tc>
          <w:tcPr/>
          <w:p>
            <w:pPr>
              <w:pStyle w:val="Compact"/>
            </w:pPr>
            <w:r>
              <w:t>Completion of first client-facing compliance review or data protection assessment</w:t>
            </w:r>
          </w:p>
        </w:tc>
      </w:tr>
      <w:tr>
        <w:tc>
          <w:tcPr/>
          <w:p>
            <w:pPr>
              <w:pStyle w:val="Compact"/>
            </w:pPr>
            <w:r>
              <w:t>Milestone 3</w:t>
            </w:r>
          </w:p>
        </w:tc>
        <w:tc>
          <w:tcPr/>
          <w:p>
            <w:pPr>
              <w:pStyle w:val="Compact"/>
            </w:pPr>
            <w:r>
              <w:t>0.1875%</w:t>
            </w:r>
          </w:p>
        </w:tc>
        <w:tc>
          <w:tcPr/>
          <w:p>
            <w:pPr>
              <w:pStyle w:val="Compact"/>
            </w:pPr>
            <w:r>
              <w:t>First client contract with initial value of CAD $100,000 or more attributable to Advisor's introduction</w:t>
            </w:r>
          </w:p>
        </w:tc>
      </w:tr>
      <w:tr>
        <w:tc>
          <w:tcPr/>
          <w:p>
            <w:pPr>
              <w:pStyle w:val="Compact"/>
            </w:pPr>
            <w:r>
              <w:t>Milestone 4</w:t>
            </w:r>
          </w:p>
        </w:tc>
        <w:tc>
          <w:tcPr/>
          <w:p>
            <w:pPr>
              <w:pStyle w:val="Compact"/>
            </w:pPr>
            <w:r>
              <w:t>0.1875%</w:t>
            </w:r>
          </w:p>
        </w:tc>
        <w:tc>
          <w:tcPr/>
          <w:p>
            <w:pPr>
              <w:pStyle w:val="Compact"/>
            </w:pPr>
            <w:r>
              <w:t>Successful close of first strategic partnership directly introduced by Advisor</w:t>
            </w:r>
          </w:p>
        </w:tc>
      </w:tr>
    </w:tbl>
    <w:bookmarkEnd w:id="10"/>
    <w:bookmarkStart w:id="11" w:name="commission-on-client-contracts"/>
    <w:p>
      <w:pPr>
        <w:pStyle w:val="Heading3"/>
      </w:pPr>
      <w:r>
        <w:t>3. COMMISSION ON CLIENT CONTRACTS</w:t>
      </w:r>
    </w:p>
    <w:p>
      <w:pPr>
        <w:pStyle w:val="FirstParagraph"/>
      </w:pPr>
      <w:r>
        <w:rPr>
          <w:rFonts w:ascii="Times New Roman" w:hAnsi="Times New Roman"/>
          <w:sz w:val="22"/>
        </w:rPr>
        <w:t>For any client introduced by Advisor that enters into a contract with Oction Labs Inc. or Oction Consulting and Marketing Inc.:</w:t>
      </w:r>
    </w:p>
    <w:p>
      <w:pPr>
        <w:pStyle w:val="Compact"/>
        <w:numPr>
          <w:ilvl w:val="0"/>
          <w:numId w:val="1001"/>
        </w:numPr>
      </w:pPr>
      <w:r>
        <w:rPr>
          <w:rFonts w:ascii="Times New Roman" w:hAnsi="Times New Roman"/>
          <w:b/>
          <w:bCs/>
          <w:sz w:val="22"/>
        </w:rPr>
        <w:t>10% of Year 1 initial contract value</w:t>
      </w:r>
      <w:r>
        <w:rPr>
          <w:rFonts w:ascii="Times New Roman" w:hAnsi="Times New Roman"/>
          <w:sz w:val="22"/>
        </w:rPr>
        <w:t>.</w:t>
      </w:r>
    </w:p>
    <w:p>
      <w:pPr>
        <w:pStyle w:val="Compact"/>
        <w:numPr>
          <w:ilvl w:val="0"/>
          <w:numId w:val="1001"/>
        </w:numPr>
      </w:pPr>
      <w:r>
        <w:rPr>
          <w:rFonts w:ascii="Times New Roman" w:hAnsi="Times New Roman"/>
          <w:sz w:val="22"/>
        </w:rPr>
        <w:t>Applies to both Oction Labs Inc. AI deployment engagements and Oction Consulting and Marketing Inc. service engagements.</w:t>
      </w:r>
    </w:p>
    <w:p>
      <w:pPr>
        <w:pStyle w:val="Compact"/>
        <w:numPr>
          <w:ilvl w:val="0"/>
          <w:numId w:val="1001"/>
        </w:numPr>
      </w:pPr>
      <w:r>
        <w:rPr>
          <w:rFonts w:ascii="Times New Roman" w:hAnsi="Times New Roman"/>
          <w:sz w:val="22"/>
        </w:rPr>
        <w:t>Commission payments by Oction Consulting and Marketing Inc. or any Separate Entity do not entitle Advisor to any equity or ownership interest in that entity.</w:t>
      </w:r>
    </w:p>
    <w:p>
      <w:pPr>
        <w:pStyle w:val="Compact"/>
        <w:numPr>
          <w:ilvl w:val="0"/>
          <w:numId w:val="1001"/>
        </w:numPr>
      </w:pPr>
      <w:r>
        <w:rPr>
          <w:rFonts w:ascii="Times New Roman" w:hAnsi="Times New Roman"/>
          <w:b/>
          <w:bCs/>
          <w:sz w:val="22"/>
        </w:rPr>
        <w:t>Renewals:</w:t>
      </w:r>
      <w:r>
        <w:rPr>
          <w:rFonts w:ascii="Times New Roman" w:hAnsi="Times New Roman"/>
          <w:sz w:val="22"/>
        </w:rPr>
        <w:t xml:space="preserve"> </w:t>
      </w:r>
      <w:r>
        <w:rPr>
          <w:rFonts w:ascii="Times New Roman" w:hAnsi="Times New Roman"/>
          <w:sz w:val="22"/>
        </w:rPr>
        <w:t>Commission is also payable on renewals, extensions, and additional work signed with the same client, provided the original introduction was documented under Section 5 attribution requirements. Renewals and additional work may be with either Oction Labs Inc. or Oction Consulting and Marketing Inc. (or any Separate Entity), and commission is payable on all such continued revenue regardless of which entity bills the client.</w:t>
      </w:r>
    </w:p>
    <w:p>
      <w:pPr>
        <w:pStyle w:val="Compact"/>
        <w:numPr>
          <w:ilvl w:val="0"/>
          <w:numId w:val="1001"/>
        </w:numPr>
      </w:pPr>
      <w:r>
        <w:rPr>
          <w:rFonts w:ascii="Times New Roman" w:hAnsi="Times New Roman"/>
          <w:sz w:val="22"/>
        </w:rPr>
        <w:t>Paid net 15 days after client payment is received and cleared.</w:t>
      </w:r>
    </w:p>
    <w:p>
      <w:pPr>
        <w:pStyle w:val="FirstParagraph"/>
      </w:pPr>
      <w:r>
        <w:rPr>
          <w:rFonts w:ascii="Times New Roman" w:hAnsi="Times New Roman"/>
          <w:b/>
          <w:bCs/>
          <w:sz w:val="22"/>
        </w:rPr>
        <w:t>Tax Withholding:</w:t>
      </w:r>
      <w:r>
        <w:rPr>
          <w:rFonts w:ascii="Times New Roman" w:hAnsi="Times New Roman"/>
          <w:sz w:val="22"/>
        </w:rPr>
        <w:t xml:space="preserve"> </w:t>
      </w:r>
      <w:r>
        <w:rPr>
          <w:rFonts w:ascii="Times New Roman" w:hAnsi="Times New Roman"/>
          <w:sz w:val="22"/>
        </w:rPr>
        <w:t>Commission payments are subject to applicable withholding tax. Jackie must deliver a valid IRS Form W-8BEN before any commission payment is made.</w:t>
      </w:r>
    </w:p>
    <w:p>
      <w:pPr>
        <w:pStyle w:val="BodyText"/>
      </w:pPr>
      <w:r>
        <w:rPr>
          <w:rFonts w:ascii="Times New Roman" w:hAnsi="Times New Roman"/>
          <w:sz w:val="22"/>
        </w:rPr>
        <w:t>Attribution requirement: The introduction must be documented by an email, LinkedIn message, or other written communication from Advisor to the decision-maker, copied to or reported to Oction.</w:t>
      </w:r>
    </w:p>
    <w:bookmarkEnd w:id="11"/>
    <w:bookmarkStart w:id="12" w:name="X05c2e4d4cbfcb630c870f3017cae22f722ec897"/>
    <w:p>
      <w:pPr>
        <w:pStyle w:val="Heading3"/>
      </w:pPr>
      <w:r>
        <w:t>4. INTRODUCTION FEE ON STRATEGIC PARTNERSHIPS</w:t>
      </w:r>
    </w:p>
    <w:p>
      <w:pPr>
        <w:pStyle w:val="FirstParagraph"/>
      </w:pPr>
      <w:r>
        <w:rPr>
          <w:rFonts w:ascii="Times New Roman" w:hAnsi="Times New Roman"/>
          <w:sz w:val="22"/>
        </w:rPr>
        <w:t>For commercial partnership transactions directly introduced by Advisor:</w:t>
      </w:r>
    </w:p>
    <w:p>
      <w:pPr>
        <w:pStyle w:val="Compact"/>
        <w:numPr>
          <w:ilvl w:val="0"/>
          <w:numId w:val="1002"/>
        </w:numPr>
      </w:pPr>
      <w:r>
        <w:rPr>
          <w:rFonts w:ascii="Times New Roman" w:hAnsi="Times New Roman"/>
          <w:b/>
          <w:bCs/>
          <w:sz w:val="22"/>
        </w:rPr>
        <w:t>2% of gross amount received by the Company</w:t>
      </w:r>
      <w:r>
        <w:rPr>
          <w:rFonts w:ascii="Times New Roman" w:hAnsi="Times New Roman"/>
          <w:sz w:val="22"/>
        </w:rPr>
        <w:t>.</w:t>
      </w:r>
    </w:p>
    <w:p>
      <w:pPr>
        <w:pStyle w:val="Compact"/>
        <w:numPr>
          <w:ilvl w:val="0"/>
          <w:numId w:val="1002"/>
        </w:numPr>
      </w:pPr>
      <w:r>
        <w:rPr>
          <w:rFonts w:ascii="Times New Roman" w:hAnsi="Times New Roman"/>
          <w:sz w:val="22"/>
        </w:rPr>
        <w:t>No cap per transaction.</w:t>
      </w:r>
    </w:p>
    <w:p>
      <w:pPr>
        <w:pStyle w:val="Compact"/>
        <w:numPr>
          <w:ilvl w:val="0"/>
          <w:numId w:val="1002"/>
        </w:numPr>
      </w:pPr>
      <w:r>
        <w:rPr>
          <w:rFonts w:ascii="Times New Roman" w:hAnsi="Times New Roman"/>
          <w:sz w:val="22"/>
        </w:rPr>
        <w:t>Paid at transaction close.</w:t>
      </w:r>
    </w:p>
    <w:p>
      <w:pPr>
        <w:pStyle w:val="Compact"/>
        <w:numPr>
          <w:ilvl w:val="0"/>
          <w:numId w:val="1002"/>
        </w:numPr>
      </w:pPr>
      <w:r>
        <w:rPr>
          <w:rFonts w:ascii="Times New Roman" w:hAnsi="Times New Roman"/>
          <w:sz w:val="22"/>
        </w:rPr>
        <w:t>Same attribution requirements as Section 3.</w:t>
      </w:r>
    </w:p>
    <w:p>
      <w:pPr>
        <w:pStyle w:val="FirstParagraph"/>
      </w:pPr>
      <w:r>
        <w:rPr>
          <w:rFonts w:ascii="Times New Roman" w:hAnsi="Times New Roman"/>
          <w:b/>
          <w:bCs/>
          <w:sz w:val="22"/>
        </w:rPr>
        <w:t>Securities Exclusion:</w:t>
      </w:r>
      <w:r>
        <w:rPr>
          <w:rFonts w:ascii="Times New Roman" w:hAnsi="Times New Roman"/>
          <w:sz w:val="22"/>
        </w:rPr>
        <w:t xml:space="preserve"> </w:t>
      </w:r>
      <w:r>
        <w:rPr>
          <w:rFonts w:ascii="Times New Roman" w:hAnsi="Times New Roman"/>
          <w:sz w:val="22"/>
        </w:rPr>
        <w:t>No fee is payable for introductions that result in the purchase of the Company's equity, debt, or other securities. Advisor is not authorized to act as a broker, dealer, finder, or placement agent in connection with any securities offering.</w:t>
      </w:r>
    </w:p>
    <w:bookmarkEnd w:id="12"/>
    <w:bookmarkStart w:id="13" w:name="advisory-budget-and-legal-retainer"/>
    <w:p>
      <w:pPr>
        <w:pStyle w:val="Heading3"/>
      </w:pPr>
      <w:r>
        <w:t>5. ADVISORY BUDGET AND LEGAL RETAINER</w:t>
      </w:r>
    </w:p>
    <w:p>
      <w:pPr>
        <w:pStyle w:val="FirstParagraph"/>
      </w:pPr>
      <w:r>
        <w:rPr>
          <w:rFonts w:ascii="Times New Roman" w:hAnsi="Times New Roman"/>
          <w:sz w:val="22"/>
        </w:rPr>
        <w:t>The Company will provide an annual advisory budget of CAD $[Amount] (the "Advisory Budget") for the Advisor to allocate toward legal fees, compliance costs, IP management expenses, and time spent on advisory matters. The Advisory Budget will be paid or reimbursed monthly against documented time and invoices and reviewed annually; it may increase as the Company grows. Any services beyond the Advisory Budget will be set out in a separate Legal Services Retainer Agreement.</w:t>
      </w:r>
    </w:p>
    <w:p>
      <w:pPr>
        <w:pStyle w:val="BodyText"/>
      </w:pPr>
      <w:r>
        <w:rPr>
          <w:rFonts w:ascii="Times New Roman" w:hAnsi="Times New Roman"/>
          <w:b/>
          <w:bCs/>
          <w:sz w:val="22"/>
        </w:rPr>
        <w:t>Jurisdictional Limitation:</w:t>
      </w:r>
      <w:r>
        <w:rPr>
          <w:rFonts w:ascii="Times New Roman" w:hAnsi="Times New Roman"/>
          <w:sz w:val="22"/>
        </w:rPr>
        <w:t xml:space="preserve"> </w:t>
      </w:r>
      <w:r>
        <w:rPr>
          <w:rFonts w:ascii="Times New Roman" w:hAnsi="Times New Roman"/>
          <w:sz w:val="22"/>
        </w:rPr>
        <w:t>Advisor is not authorized to provide Canadian legal advice unless separately licensed to do so in a Canadian jurisdiction. Canadian legal advice will be provided by qualified Canadian counsel engaged by the Company.</w:t>
      </w:r>
    </w:p>
    <w:bookmarkEnd w:id="13"/>
    <w:bookmarkStart w:id="14" w:name="role-and-expectations"/>
    <w:p>
      <w:pPr>
        <w:pStyle w:val="Heading3"/>
      </w:pPr>
      <w:r>
        <w:t>6. ROLE AND EXPECTATIONS</w:t>
      </w:r>
    </w:p>
    <w:p>
      <w:pPr>
        <w:pStyle w:val="FirstParagraph"/>
      </w:pPr>
      <w:r>
        <w:rPr>
          <w:rFonts w:ascii="Times New Roman" w:hAnsi="Times New Roman"/>
          <w:sz w:val="22"/>
        </w:rPr>
        <w:t>Advisor will support Oction Labs Inc. in:</w:t>
      </w:r>
    </w:p>
    <w:p>
      <w:pPr>
        <w:pStyle w:val="Compact"/>
        <w:numPr>
          <w:ilvl w:val="0"/>
          <w:numId w:val="1003"/>
        </w:numPr>
      </w:pPr>
      <w:r>
        <w:rPr>
          <w:rFonts w:ascii="Times New Roman" w:hAnsi="Times New Roman"/>
          <w:sz w:val="22"/>
        </w:rPr>
        <w:t>Structuring legal and compliance frameworks for client deployments, data handling, and contracting, subject to the jurisdictional limitation above.</w:t>
      </w:r>
    </w:p>
    <w:p>
      <w:pPr>
        <w:pStyle w:val="Compact"/>
        <w:numPr>
          <w:ilvl w:val="0"/>
          <w:numId w:val="1003"/>
        </w:numPr>
      </w:pPr>
      <w:r>
        <w:rPr>
          <w:rFonts w:ascii="Times New Roman" w:hAnsi="Times New Roman"/>
          <w:sz w:val="22"/>
        </w:rPr>
        <w:t>Advising on intellectual property management and protection strategy for company technology, processes, and client deliverables.</w:t>
      </w:r>
    </w:p>
    <w:p>
      <w:pPr>
        <w:pStyle w:val="Compact"/>
        <w:numPr>
          <w:ilvl w:val="0"/>
          <w:numId w:val="1003"/>
        </w:numPr>
      </w:pPr>
      <w:r>
        <w:rPr>
          <w:rFonts w:ascii="Times New Roman" w:hAnsi="Times New Roman"/>
          <w:sz w:val="22"/>
        </w:rPr>
        <w:t>Supporting partnership development, including introductions, negotiation support, and deal structure.</w:t>
      </w:r>
    </w:p>
    <w:p>
      <w:pPr>
        <w:pStyle w:val="Compact"/>
        <w:numPr>
          <w:ilvl w:val="0"/>
          <w:numId w:val="1003"/>
        </w:numPr>
      </w:pPr>
      <w:r>
        <w:rPr>
          <w:rFonts w:ascii="Times New Roman" w:hAnsi="Times New Roman"/>
          <w:sz w:val="22"/>
        </w:rPr>
        <w:t>Identifying and opening doors to legal, compliance, regulatory, and strategic connections.</w:t>
      </w:r>
    </w:p>
    <w:p>
      <w:pPr>
        <w:pStyle w:val="Compact"/>
        <w:numPr>
          <w:ilvl w:val="0"/>
          <w:numId w:val="1003"/>
        </w:numPr>
      </w:pPr>
      <w:r>
        <w:rPr>
          <w:rFonts w:ascii="Times New Roman" w:hAnsi="Times New Roman"/>
          <w:sz w:val="22"/>
        </w:rPr>
        <w:t>Providing feedback on risk, governance, and go-to-market strategy for regulated sectors.</w:t>
      </w:r>
    </w:p>
    <w:p>
      <w:pPr>
        <w:pStyle w:val="Compact"/>
        <w:numPr>
          <w:ilvl w:val="0"/>
          <w:numId w:val="1003"/>
        </w:numPr>
      </w:pPr>
      <w:r>
        <w:rPr>
          <w:rFonts w:ascii="Times New Roman" w:hAnsi="Times New Roman"/>
          <w:sz w:val="22"/>
        </w:rPr>
        <w:t>Acting as a referenceable advisor for sales and investor conversations.</w:t>
      </w:r>
    </w:p>
    <w:p>
      <w:pPr>
        <w:pStyle w:val="FirstParagraph"/>
      </w:pPr>
      <w:r>
        <w:rPr>
          <w:rFonts w:ascii="Times New Roman" w:hAnsi="Times New Roman"/>
          <w:sz w:val="22"/>
        </w:rPr>
        <w:t>Advisor is not an employee, director, officer, or agent of the Company. Advisor has no authority to bind the Company, negotiate on its behalf, or incur obligations.</w:t>
      </w:r>
    </w:p>
    <w:bookmarkEnd w:id="14"/>
    <w:bookmarkStart w:id="15" w:name="time-commitment"/>
    <w:p>
      <w:pPr>
        <w:pStyle w:val="Heading3"/>
      </w:pPr>
      <w:r>
        <w:t>7. TIME COMMITMENT</w:t>
      </w:r>
    </w:p>
    <w:p>
      <w:pPr>
        <w:pStyle w:val="FirstParagraph"/>
      </w:pPr>
      <w:r>
        <w:rPr>
          <w:rFonts w:ascii="Times New Roman" w:hAnsi="Times New Roman"/>
          <w:sz w:val="22"/>
        </w:rPr>
        <w:t>Advisor will make reasonable efforts to provide ongoing strategic support, with a target of at least one substantive engagement per month (call, introduction, review, or meeting) and responsiveness to high-priority requests within 3 business days.</w:t>
      </w:r>
    </w:p>
    <w:bookmarkEnd w:id="15"/>
    <w:bookmarkStart w:id="16" w:name="X6d3307a7ddfa67e1099f7e91d019266e60a152a"/>
    <w:p>
      <w:pPr>
        <w:pStyle w:val="Heading3"/>
      </w:pPr>
      <w:r>
        <w:t>8. CONFIDENTIALITY AND INTELLECTUAL PROPERTY</w:t>
      </w:r>
    </w:p>
    <w:p>
      <w:pPr>
        <w:pStyle w:val="FirstParagraph"/>
      </w:pPr>
      <w:r>
        <w:rPr>
          <w:rFonts w:ascii="Times New Roman" w:hAnsi="Times New Roman"/>
          <w:sz w:val="22"/>
        </w:rPr>
        <w:t>Advisor agrees to standard confidentiality obligations regarding company information, client data, and business plans. Any work product created for Oction Labs Inc. is owned by the Company.</w:t>
      </w:r>
    </w:p>
    <w:bookmarkEnd w:id="16"/>
    <w:bookmarkStart w:id="17" w:name="termination"/>
    <w:p>
      <w:pPr>
        <w:pStyle w:val="Heading3"/>
      </w:pPr>
      <w:r>
        <w:t>9. TERMINATION</w:t>
      </w:r>
    </w:p>
    <w:p>
      <w:pPr>
        <w:pStyle w:val="FirstParagraph"/>
      </w:pPr>
      <w:r>
        <w:rPr>
          <w:rFonts w:ascii="Times New Roman" w:hAnsi="Times New Roman"/>
          <w:sz w:val="22"/>
        </w:rPr>
        <w:t>Either party may terminate the advisory relationship with 30 days' written notice. Upon termination, all unvested equity is forfeited. Vested equity, earned commissions, fees, and any earned but unpaid Advisory Budget allocations remain payable subject to clawback provisions in the definitive agreement.</w:t>
      </w:r>
    </w:p>
    <w:bookmarkEnd w:id="17"/>
    <w:bookmarkStart w:id="18" w:name="definitive-documentation"/>
    <w:p>
      <w:pPr>
        <w:pStyle w:val="Heading3"/>
      </w:pPr>
      <w:r>
        <w:t>10. DEFINITIVE DOCUMENTATION</w:t>
      </w:r>
    </w:p>
    <w:p>
      <w:pPr>
        <w:pStyle w:val="FirstParagraph"/>
      </w:pPr>
      <w:r>
        <w:rPr>
          <w:rFonts w:ascii="Times New Roman" w:hAnsi="Times New Roman"/>
          <w:sz w:val="22"/>
        </w:rPr>
        <w:t>This term sheet is non-binding and for discussion purposes only, except for Sections 8 and 9 which are intended to be binding. The parties will negotiate and execute a definitive Advisor Agreement.</w:t>
      </w:r>
    </w:p>
    <w:bookmarkEnd w:id="18"/>
    <w:bookmarkStart w:id="19" w:name="governing-law"/>
    <w:p>
      <w:pPr>
        <w:pStyle w:val="Heading3"/>
      </w:pPr>
      <w:r>
        <w:t>11. GOVERNING LAW</w:t>
      </w:r>
    </w:p>
    <w:p>
      <w:pPr>
        <w:pStyle w:val="FirstParagraph"/>
      </w:pPr>
      <w:r>
        <w:rPr>
          <w:rFonts w:ascii="Times New Roman" w:hAnsi="Times New Roman"/>
          <w:sz w:val="22"/>
        </w:rPr>
        <w:t>This term sheet and the definitive agreement will be governed by the laws of the Province of Alberta and the federal laws of Canada applicable therein.</w:t>
      </w:r>
    </w:p>
    <w:bookmarkEnd w:id="19"/>
    <w:bookmarkEnd w:id="20"/>
    <w:bookmarkEnd w:id="21"/>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pPr>
      <w:spacing w:line="276" w:lineRule="auto"/>
    </w:pPr>
    <w:rPr>
      <w:rFonts w:ascii="Times New Roman" w:hAnsi="Times New Roman"/>
      <w:b w:val="0"/>
      <w:color w:val="000000"/>
      <w:sz w:val="22"/>
    </w:rPr>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200" w:before="360" w:line="276" w:lineRule="auto"/>
      <w:jc w:val="center"/>
      <w:outlineLvl w:val="0"/>
    </w:pPr>
    <w:rPr>
      <w:rFonts w:asciiTheme="majorHAnsi" w:cstheme="majorBidi" w:eastAsiaTheme="majorEastAsia" w:hAnsiTheme="majorHAnsi" w:ascii="Times New Roman" w:hAnsi="Times New Roman"/>
      <w:b/>
      <w:color w:val="000000"/>
      <w:sz w:val="32"/>
      <w:szCs w:val="40"/>
    </w:rPr>
  </w:style>
  <w:style w:styleId="Heading2" w:type="paragraph">
    <w:name w:val="heading 2"/>
    <w:basedOn w:val="Normal"/>
    <w:next w:val="BodyText"/>
    <w:link w:val="Heading2Char"/>
    <w:uiPriority w:val="9"/>
    <w:semiHidden/>
    <w:unhideWhenUsed/>
    <w:qFormat/>
    <w:rsid w:val="00A10FD9"/>
    <w:pPr>
      <w:keepNext/>
      <w:keepLines/>
      <w:spacing w:after="200" w:before="360" w:line="276" w:lineRule="auto"/>
      <w:outlineLvl w:val="1"/>
    </w:pPr>
    <w:rPr>
      <w:rFonts w:asciiTheme="majorHAnsi" w:cstheme="majorBidi" w:eastAsiaTheme="majorEastAsia" w:hAnsiTheme="majorHAnsi" w:ascii="Times New Roman" w:hAnsi="Times New Roman"/>
      <w:b/>
      <w:color w:val="000000"/>
      <w:sz w:val="26"/>
      <w:szCs w:val="32"/>
    </w:rPr>
  </w:style>
  <w:style w:styleId="Heading3" w:type="paragraph">
    <w:name w:val="heading 3"/>
    <w:basedOn w:val="Normal"/>
    <w:next w:val="BodyText"/>
    <w:link w:val="Heading3Char"/>
    <w:uiPriority w:val="9"/>
    <w:semiHidden/>
    <w:unhideWhenUsed/>
    <w:qFormat/>
    <w:rsid w:val="00A10FD9"/>
    <w:pPr>
      <w:keepNext/>
      <w:keepLines/>
      <w:spacing w:after="80" w:before="160" w:line="276" w:lineRule="auto"/>
      <w:outlineLvl w:val="2"/>
    </w:pPr>
    <w:rPr>
      <w:rFonts w:cstheme="majorBidi" w:eastAsiaTheme="majorEastAsia" w:ascii="Times New Roman" w:hAnsi="Times New Roman"/>
      <w:b/>
      <w:color w:val="000000"/>
      <w:sz w:val="22"/>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 w:type="paragraph" w:customStyle="1" w:styleId="ListParagraph">
    <w:name w:val="List Paragraph"/>
    <w:pPr>
      <w:spacing w:line="276" w:lineRule="auto"/>
    </w:pPr>
    <w:rPr>
      <w:rFonts w:ascii="Times New Roman" w:hAnsi="Times New Roman"/>
      <w:b w:val="0"/>
      <w:color w:val="000000"/>
      <w:sz w:val="22"/>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7" Type="http://schemas.openxmlformats.org/officeDocument/2006/relationships/styles" Target="styles.xml"/><Relationship Id="rId6" Type="http://schemas.openxmlformats.org/officeDocument/2006/relationships/settings" Target="settings.xml"/><Relationship Id="rId5" Type="http://schemas.openxmlformats.org/officeDocument/2006/relationships/webSettings" Target="webSettings.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footnotes" Target="footnotes.xml"/><Relationship Id="rId1"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2026-08-25T08:14:33Z</dcterms:created>
  <dcterms:modified xsi:type="dcterms:W3CDTF">2026-08-25T08:14:33Z</dcterms:modified>
</cp:coreProperties>
</file>

<file path=docProps/custom.xml><?xml version="1.0" encoding="utf-8"?>
<Properties xmlns="http://schemas.openxmlformats.org/officeDocument/2006/custom-properties" xmlns:vt="http://schemas.openxmlformats.org/officeDocument/2006/docPropsVTypes"/>
</file>