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30" w:name="advisor-agreement---us-based-advisor"/>
    <w:p>
      <w:pPr>
        <w:pStyle w:val="Heading1"/>
      </w:pPr>
      <w:r>
        <w:t>ADVISOR AGREEMENT - US-BASED ADVISOR</w:t>
      </w:r>
    </w:p>
    <w:p>
      <w:pPr>
        <w:pStyle w:val="FirstParagraph"/>
      </w:pPr>
      <w:r>
        <w:rPr>
          <w:rFonts w:ascii="Times New Roman" w:hAnsi="Times New Roman"/>
          <w:sz w:val="22"/>
        </w:rPr>
        <w:t>THIS ADVISOR AGREEMENT is made effective as of ________________ (the "Effective Date"),</w:t>
      </w:r>
    </w:p>
    <w:p>
      <w:pPr>
        <w:pStyle w:val="BodyText"/>
      </w:pPr>
      <w:r>
        <w:rPr>
          <w:rFonts w:ascii="Times New Roman" w:hAnsi="Times New Roman"/>
          <w:b/>
          <w:bCs/>
          <w:sz w:val="22"/>
        </w:rPr>
        <w:t>BETWEEN:</w:t>
      </w:r>
    </w:p>
    <w:p>
      <w:pPr>
        <w:pStyle w:val="BodyText"/>
      </w:pPr>
      <w:r>
        <w:rPr>
          <w:rFonts w:ascii="Times New Roman" w:hAnsi="Times New Roman"/>
          <w:b/>
          <w:bCs/>
          <w:sz w:val="22"/>
        </w:rPr>
        <w:t>OCTION LABS INC.</w:t>
      </w:r>
      <w:r>
        <w:rPr>
          <w:rFonts w:ascii="Times New Roman" w:hAnsi="Times New Roman"/>
          <w:sz w:val="22"/>
        </w:rPr>
        <w:t xml:space="preserve"> </w:t>
      </w:r>
      <w:r>
        <w:rPr>
          <w:rFonts w:ascii="Times New Roman" w:hAnsi="Times New Roman"/>
          <w:sz w:val="22"/>
        </w:rPr>
        <w:t>(the "Company") - a corporation incorporated under the laws of the Province of Alberta, Canada - Address: ________________________________</w:t>
      </w:r>
    </w:p>
    <w:p>
      <w:pPr>
        <w:pStyle w:val="BodyText"/>
      </w:pPr>
      <w:r>
        <w:rPr>
          <w:rFonts w:ascii="Times New Roman" w:hAnsi="Times New Roman"/>
          <w:b/>
          <w:bCs/>
          <w:sz w:val="22"/>
        </w:rPr>
        <w:t>AND:</w:t>
      </w:r>
    </w:p>
    <w:p>
      <w:pPr>
        <w:pStyle w:val="BodyText"/>
      </w:pPr>
      <w:r>
        <w:rPr>
          <w:rFonts w:ascii="Times New Roman" w:hAnsi="Times New Roman"/>
          <w:b/>
          <w:bCs/>
          <w:sz w:val="22"/>
        </w:rPr>
        <w:t>JACKIE</w:t>
      </w:r>
      <w:r>
        <w:rPr>
          <w:rFonts w:ascii="Times New Roman" w:hAnsi="Times New Roman"/>
          <w:sz w:val="22"/>
        </w:rPr>
        <w:t xml:space="preserve"> </w:t>
      </w:r>
      <w:r>
        <w:rPr>
          <w:rFonts w:ascii="Times New Roman" w:hAnsi="Times New Roman"/>
          <w:sz w:val="22"/>
        </w:rPr>
        <w:t>(the "Advisor") - Address: ________________________________ - Email: ________________________________ - Tax Residence: United States of America</w:t>
      </w:r>
    </w:p>
    <w:p>
      <w:pPr>
        <w:pStyle w:val="BodyText"/>
      </w:pPr>
      <w:r>
        <w:rPr>
          <w:rFonts w:ascii="Times New Roman" w:hAnsi="Times New Roman"/>
          <w:sz w:val="22"/>
        </w:rPr>
        <w:t>(collectively, the "Parties" and each a "Party")</w:t>
      </w:r>
    </w:p>
    <w:p>
      <w:r>
        <w:rPr>
          <w:rFonts w:ascii="Times New Roman" w:hAnsi="Times New Roman"/>
          <w:sz w:val="22"/>
        </w:rPr>
      </w:r>
    </w:p>
    <w:bookmarkStart w:id="9" w:name="definitions"/>
    <w:p>
      <w:pPr>
        <w:pStyle w:val="Heading2"/>
      </w:pPr>
      <w:r>
        <w:t>1. DEFINITIONS</w:t>
      </w:r>
    </w:p>
    <w:p>
      <w:pPr>
        <w:pStyle w:val="FirstParagraph"/>
      </w:pPr>
      <w:r>
        <w:rPr>
          <w:rFonts w:ascii="Times New Roman" w:hAnsi="Times New Roman"/>
          <w:sz w:val="22"/>
        </w:rPr>
        <w:t>In this Agreement, the following terms have the meanings set out below:</w:t>
      </w:r>
    </w:p>
    <w:p>
      <w:pPr>
        <w:pStyle w:val="Compact"/>
        <w:numPr>
          <w:ilvl w:val="0"/>
          <w:numId w:val="1001"/>
        </w:numPr>
      </w:pPr>
      <w:r>
        <w:rPr>
          <w:rFonts w:ascii="Times New Roman" w:hAnsi="Times New Roman"/>
          <w:b/>
          <w:bCs/>
          <w:sz w:val="22"/>
        </w:rPr>
        <w:t>"Accredited Investor"</w:t>
      </w:r>
      <w:r>
        <w:rPr>
          <w:rFonts w:ascii="Times New Roman" w:hAnsi="Times New Roman"/>
          <w:sz w:val="22"/>
        </w:rPr>
        <w:t xml:space="preserve"> </w:t>
      </w:r>
      <w:r>
        <w:rPr>
          <w:rFonts w:ascii="Times New Roman" w:hAnsi="Times New Roman"/>
          <w:sz w:val="22"/>
        </w:rPr>
        <w:t>means an "accredited investor" as defined in Rule 501 of Regulation D under the United States Securities Act of 1933.</w:t>
      </w:r>
    </w:p>
    <w:p>
      <w:pPr>
        <w:pStyle w:val="Compact"/>
        <w:numPr>
          <w:ilvl w:val="0"/>
          <w:numId w:val="1001"/>
        </w:numPr>
      </w:pPr>
      <w:r>
        <w:rPr>
          <w:rFonts w:ascii="Times New Roman" w:hAnsi="Times New Roman"/>
          <w:b/>
          <w:bCs/>
          <w:sz w:val="22"/>
        </w:rPr>
        <w:t>"Advisory Budget"</w:t>
      </w:r>
      <w:r>
        <w:rPr>
          <w:rFonts w:ascii="Times New Roman" w:hAnsi="Times New Roman"/>
          <w:sz w:val="22"/>
        </w:rPr>
        <w:t xml:space="preserve"> </w:t>
      </w:r>
      <w:r>
        <w:rPr>
          <w:rFonts w:ascii="Times New Roman" w:hAnsi="Times New Roman"/>
          <w:sz w:val="22"/>
        </w:rPr>
        <w:t>means the annual budget of CAD $[Amount] for legal fees, compliance costs, IP management expenses, and time spent on advisory matters.</w:t>
      </w:r>
    </w:p>
    <w:p>
      <w:pPr>
        <w:pStyle w:val="Compact"/>
        <w:numPr>
          <w:ilvl w:val="0"/>
          <w:numId w:val="1001"/>
        </w:numPr>
      </w:pPr>
      <w:r>
        <w:rPr>
          <w:rFonts w:ascii="Times New Roman" w:hAnsi="Times New Roman"/>
          <w:b/>
          <w:bCs/>
          <w:sz w:val="22"/>
        </w:rPr>
        <w:t>"Affiliate"</w:t>
      </w:r>
      <w:r>
        <w:rPr>
          <w:rFonts w:ascii="Times New Roman" w:hAnsi="Times New Roman"/>
          <w:sz w:val="22"/>
        </w:rPr>
        <w:t xml:space="preserve"> </w:t>
      </w:r>
      <w:r>
        <w:rPr>
          <w:rFonts w:ascii="Times New Roman" w:hAnsi="Times New Roman"/>
          <w:sz w:val="22"/>
        </w:rPr>
        <w:t>means any entity that directly or indirectly controls, is controlled by, or is under common control with the Company.</w:t>
      </w:r>
    </w:p>
    <w:p>
      <w:pPr>
        <w:pStyle w:val="Compact"/>
        <w:numPr>
          <w:ilvl w:val="0"/>
          <w:numId w:val="1001"/>
        </w:numPr>
      </w:pPr>
      <w:r>
        <w:rPr>
          <w:rFonts w:ascii="Times New Roman" w:hAnsi="Times New Roman"/>
          <w:b/>
          <w:bCs/>
          <w:sz w:val="22"/>
        </w:rPr>
        <w:t>"Confidential Information"</w:t>
      </w:r>
      <w:r>
        <w:rPr>
          <w:rFonts w:ascii="Times New Roman" w:hAnsi="Times New Roman"/>
          <w:sz w:val="22"/>
        </w:rPr>
        <w:t xml:space="preserve"> </w:t>
      </w:r>
      <w:r>
        <w:rPr>
          <w:rFonts w:ascii="Times New Roman" w:hAnsi="Times New Roman"/>
          <w:sz w:val="22"/>
        </w:rPr>
        <w:t>means all non-public information disclosed by the Company to the Advisor, whether in writing, orally, electronically, or otherwise.</w:t>
      </w:r>
    </w:p>
    <w:p>
      <w:pPr>
        <w:pStyle w:val="Compact"/>
        <w:numPr>
          <w:ilvl w:val="0"/>
          <w:numId w:val="1001"/>
        </w:numPr>
      </w:pPr>
      <w:r>
        <w:rPr>
          <w:rFonts w:ascii="Times New Roman" w:hAnsi="Times New Roman"/>
          <w:b/>
          <w:bCs/>
          <w:sz w:val="22"/>
        </w:rPr>
        <w:t>"Separate Entities"</w:t>
      </w:r>
      <w:r>
        <w:rPr>
          <w:rFonts w:ascii="Times New Roman" w:hAnsi="Times New Roman"/>
          <w:sz w:val="22"/>
        </w:rPr>
        <w:t xml:space="preserve"> </w:t>
      </w:r>
      <w:r>
        <w:rPr>
          <w:rFonts w:ascii="Times New Roman" w:hAnsi="Times New Roman"/>
          <w:sz w:val="22"/>
        </w:rPr>
        <w:t>means any agency, consulting, or service corporation operated separately from the Company, including Oction Consulting and Marketing Inc.</w:t>
      </w:r>
    </w:p>
    <w:p>
      <w:pPr>
        <w:pStyle w:val="Compact"/>
        <w:numPr>
          <w:ilvl w:val="0"/>
          <w:numId w:val="1001"/>
        </w:numPr>
      </w:pPr>
      <w:r>
        <w:rPr>
          <w:rFonts w:ascii="Times New Roman" w:hAnsi="Times New Roman"/>
          <w:b/>
          <w:bCs/>
          <w:sz w:val="22"/>
        </w:rPr>
        <w:t>"Shares"</w:t>
      </w:r>
      <w:r>
        <w:rPr>
          <w:rFonts w:ascii="Times New Roman" w:hAnsi="Times New Roman"/>
          <w:sz w:val="22"/>
        </w:rPr>
        <w:t xml:space="preserve"> </w:t>
      </w:r>
      <w:r>
        <w:rPr>
          <w:rFonts w:ascii="Times New Roman" w:hAnsi="Times New Roman"/>
          <w:sz w:val="22"/>
        </w:rPr>
        <w:t>means the common shares representing 1% of the Company's issued and outstanding share capital on a fully diluted basis as of the Effective Date.</w:t>
      </w:r>
    </w:p>
    <w:bookmarkEnd w:id="9"/>
    <w:bookmarkStart w:id="10" w:name="purpose-and-relationship"/>
    <w:p>
      <w:pPr>
        <w:pStyle w:val="Heading2"/>
      </w:pPr>
      <w:r>
        <w:t>2. PURPOSE AND RELATIONSHIP</w:t>
      </w:r>
    </w:p>
    <w:p>
      <w:pPr>
        <w:numPr>
          <w:ilvl w:val="0"/>
          <w:numId w:val="1002"/>
        </w:numPr>
      </w:pPr>
      <w:r>
        <w:rPr>
          <w:rFonts w:ascii="Times New Roman" w:hAnsi="Times New Roman"/>
          <w:sz w:val="22"/>
        </w:rPr>
        <w:t>The Company retains the Advisor as a non-exclusive strategic advisor to provide guidance and support in legal strategy, intellectual property protection, compliance frameworks, and strategic business development, subject to the jurisdictional limitations in Section 7.</w:t>
      </w:r>
    </w:p>
    <w:p>
      <w:pPr>
        <w:numPr>
          <w:ilvl w:val="0"/>
          <w:numId w:val="1002"/>
        </w:numPr>
      </w:pPr>
      <w:r>
        <w:rPr>
          <w:rFonts w:ascii="Times New Roman" w:hAnsi="Times New Roman"/>
          <w:sz w:val="22"/>
        </w:rPr>
        <w:t>The Advisor's relationship with the Company is that of an independent contractor. Nothing in this Agreement creates an employment, partnership, joint venture, agency, or fiduciary relationship.</w:t>
      </w:r>
    </w:p>
    <w:p>
      <w:pPr>
        <w:numPr>
          <w:ilvl w:val="0"/>
          <w:numId w:val="1002"/>
        </w:numPr>
      </w:pPr>
      <w:r>
        <w:rPr>
          <w:rFonts w:ascii="Times New Roman" w:hAnsi="Times New Roman"/>
          <w:sz w:val="22"/>
        </w:rPr>
        <w:t>The Advisor has no authority to bind the Company, negotiate contracts, or incur any obligation on the Company's behalf.</w:t>
      </w:r>
    </w:p>
    <w:bookmarkEnd w:id="10"/>
    <w:bookmarkStart w:id="11" w:name="term"/>
    <w:p>
      <w:pPr>
        <w:pStyle w:val="Heading2"/>
      </w:pPr>
      <w:r>
        <w:t>3. TERM</w:t>
      </w:r>
    </w:p>
    <w:p>
      <w:pPr>
        <w:pStyle w:val="FirstParagraph"/>
      </w:pPr>
      <w:r>
        <w:rPr>
          <w:rFonts w:ascii="Times New Roman" w:hAnsi="Times New Roman"/>
          <w:sz w:val="22"/>
        </w:rPr>
        <w:t>This Agreement commences on the Effective Date and continues for an initial term of 24 months (the "Initial Term"), unless earlier terminated in accordance with Section 14. The Agreement may be extended by mutual written agreement.</w:t>
      </w:r>
    </w:p>
    <w:bookmarkEnd w:id="11"/>
    <w:bookmarkStart w:id="12" w:name="advisor-duties"/>
    <w:p>
      <w:pPr>
        <w:pStyle w:val="Heading2"/>
      </w:pPr>
      <w:r>
        <w:t>4. ADVISOR DUTIES</w:t>
      </w:r>
    </w:p>
    <w:p>
      <w:pPr>
        <w:pStyle w:val="FirstParagraph"/>
      </w:pPr>
      <w:r>
        <w:rPr>
          <w:rFonts w:ascii="Times New Roman" w:hAnsi="Times New Roman"/>
          <w:sz w:val="22"/>
        </w:rPr>
        <w:t>During the Term, the Advisor agrees to:</w:t>
      </w:r>
    </w:p>
    <w:p>
      <w:pPr>
        <w:numPr>
          <w:ilvl w:val="0"/>
          <w:numId w:val="1003"/>
        </w:numPr>
      </w:pPr>
      <w:r>
        <w:rPr>
          <w:rFonts w:ascii="Times New Roman" w:hAnsi="Times New Roman"/>
          <w:sz w:val="22"/>
        </w:rPr>
        <w:t>Provide strategic advice and feedback on the Company's legal, compliance, and IP positioning in client deployments, data handling, and contracting, provided that any advice touching Canadian law will be clearly identified as non-legal or will be provided through qualified Canadian counsel;</w:t>
      </w:r>
    </w:p>
    <w:p>
      <w:pPr>
        <w:numPr>
          <w:ilvl w:val="0"/>
          <w:numId w:val="1003"/>
        </w:numPr>
      </w:pPr>
      <w:r>
        <w:rPr>
          <w:rFonts w:ascii="Times New Roman" w:hAnsi="Times New Roman"/>
          <w:sz w:val="22"/>
        </w:rPr>
        <w:t>Identify and facilitate introductions to potential clients, strategic partners, and investors;</w:t>
      </w:r>
    </w:p>
    <w:p>
      <w:pPr>
        <w:numPr>
          <w:ilvl w:val="0"/>
          <w:numId w:val="1003"/>
        </w:numPr>
      </w:pPr>
      <w:r>
        <w:rPr>
          <w:rFonts w:ascii="Times New Roman" w:hAnsi="Times New Roman"/>
          <w:sz w:val="22"/>
        </w:rPr>
        <w:t>Make reasonable efforts to participate in at least one substantive advisory interaction per month, which may include calls, meetings, introductions, document reviews, or strategy sessions;</w:t>
      </w:r>
    </w:p>
    <w:p>
      <w:pPr>
        <w:numPr>
          <w:ilvl w:val="0"/>
          <w:numId w:val="1003"/>
        </w:numPr>
      </w:pPr>
      <w:r>
        <w:rPr>
          <w:rFonts w:ascii="Times New Roman" w:hAnsi="Times New Roman"/>
          <w:sz w:val="22"/>
        </w:rPr>
        <w:t>Respond to reasonable Company requests within 3 business days;</w:t>
      </w:r>
    </w:p>
    <w:p>
      <w:pPr>
        <w:numPr>
          <w:ilvl w:val="0"/>
          <w:numId w:val="1003"/>
        </w:numPr>
      </w:pPr>
      <w:r>
        <w:rPr>
          <w:rFonts w:ascii="Times New Roman" w:hAnsi="Times New Roman"/>
          <w:sz w:val="22"/>
        </w:rPr>
        <w:t>Act as a referenceable advisor for Company sales and investor conversations, subject to prior approval; and</w:t>
      </w:r>
    </w:p>
    <w:p>
      <w:pPr>
        <w:numPr>
          <w:ilvl w:val="0"/>
          <w:numId w:val="1003"/>
        </w:numPr>
      </w:pPr>
      <w:r>
        <w:rPr>
          <w:rFonts w:ascii="Times New Roman" w:hAnsi="Times New Roman"/>
          <w:sz w:val="22"/>
        </w:rPr>
        <w:t>Keep the Company informed of relevant industry developments, opportunities, and contacts.</w:t>
      </w:r>
    </w:p>
    <w:bookmarkEnd w:id="12"/>
    <w:bookmarkStart w:id="13" w:name="equity-grant"/>
    <w:p>
      <w:pPr>
        <w:pStyle w:val="Heading2"/>
      </w:pPr>
      <w:r>
        <w:t>5. EQUITY GRANT</w:t>
      </w:r>
    </w:p>
    <w:p>
      <w:pPr>
        <w:numPr>
          <w:ilvl w:val="0"/>
          <w:numId w:val="1004"/>
        </w:numPr>
      </w:pPr>
      <w:r>
        <w:rPr>
          <w:rFonts w:ascii="Times New Roman" w:hAnsi="Times New Roman"/>
          <w:b/>
          <w:bCs/>
          <w:sz w:val="22"/>
        </w:rPr>
        <w:t>Grant.</w:t>
      </w:r>
      <w:r>
        <w:rPr>
          <w:rFonts w:ascii="Times New Roman" w:hAnsi="Times New Roman"/>
          <w:sz w:val="22"/>
        </w:rPr>
        <w:t xml:space="preserve"> </w:t>
      </w:r>
      <w:r>
        <w:rPr>
          <w:rFonts w:ascii="Times New Roman" w:hAnsi="Times New Roman"/>
          <w:sz w:val="22"/>
        </w:rPr>
        <w:t>Subject to approval by the Company's board of directors, any required shareholder approvals, and execution of the Definitive Equity Documents, the Company will issue or reserve for issuance to the Advisor common shares representing</w:t>
      </w:r>
      <w:r>
        <w:rPr>
          <w:rFonts w:ascii="Times New Roman" w:hAnsi="Times New Roman"/>
          <w:sz w:val="22"/>
        </w:rPr>
        <w:t xml:space="preserve"> </w:t>
      </w:r>
      <w:r>
        <w:rPr>
          <w:rFonts w:ascii="Times New Roman" w:hAnsi="Times New Roman"/>
          <w:b/>
          <w:bCs/>
          <w:sz w:val="22"/>
        </w:rPr>
        <w:t>1%</w:t>
      </w:r>
      <w:r>
        <w:rPr>
          <w:rFonts w:ascii="Times New Roman" w:hAnsi="Times New Roman"/>
          <w:sz w:val="22"/>
        </w:rPr>
        <w:t xml:space="preserve"> </w:t>
      </w:r>
      <w:r>
        <w:rPr>
          <w:rFonts w:ascii="Times New Roman" w:hAnsi="Times New Roman"/>
          <w:sz w:val="22"/>
        </w:rPr>
        <w:t>of the Company's issued and outstanding share capital on a fully diluted basis as of the Effective Date (the "Shares"). The Shares represent equity only in Oction Labs Inc. and not in any affiliate, subsidiary, or related entity, including without limitation any Separate Entity. The Separate Entities may engage the Advisor or pay the Advisor commissions or fees, but no such engagement or payment confers any equity interest in the Separate Entities.</w:t>
      </w:r>
    </w:p>
    <w:p>
      <w:pPr>
        <w:numPr>
          <w:ilvl w:val="0"/>
          <w:numId w:val="1004"/>
        </w:numPr>
      </w:pPr>
      <w:r>
        <w:rPr>
          <w:rFonts w:ascii="Times New Roman" w:hAnsi="Times New Roman"/>
          <w:b/>
          <w:bCs/>
          <w:sz w:val="22"/>
        </w:rPr>
        <w:t>Vesting.</w:t>
      </w:r>
      <w:r>
        <w:rPr>
          <w:rFonts w:ascii="Times New Roman" w:hAnsi="Times New Roman"/>
          <w:sz w:val="22"/>
        </w:rPr>
        <w:t xml:space="preserve"> </w:t>
      </w:r>
      <w:r>
        <w:rPr>
          <w:rFonts w:ascii="Times New Roman" w:hAnsi="Times New Roman"/>
          <w:sz w:val="22"/>
        </w:rPr>
        <w:t>The Shares shall vest as follows:</w:t>
      </w:r>
    </w:p>
    <w:p>
      <w:pPr>
        <w:pStyle w:val="Compact"/>
        <w:numPr>
          <w:ilvl w:val="0"/>
          <w:numId w:val="1005"/>
        </w:numPr>
      </w:pPr>
      <w:r>
        <w:rPr>
          <w:rFonts w:ascii="Times New Roman" w:hAnsi="Times New Roman"/>
          <w:b/>
          <w:bCs/>
          <w:sz w:val="22"/>
        </w:rPr>
        <w:t>Time-Based Vesting.</w:t>
      </w:r>
      <w:r>
        <w:rPr>
          <w:rFonts w:ascii="Times New Roman" w:hAnsi="Times New Roman"/>
          <w:sz w:val="22"/>
        </w:rPr>
        <w:t xml:space="preserve"> </w:t>
      </w:r>
      <w:r>
        <w:rPr>
          <w:rFonts w:ascii="Times New Roman" w:hAnsi="Times New Roman"/>
          <w:sz w:val="22"/>
        </w:rPr>
        <w:t>25% of the Shares (0.25% on a fully diluted basis) shall vest in 24 equal monthly instalments commencing on the Effective Date, subject to the Advisor's continued service through each vesting date.</w:t>
      </w:r>
    </w:p>
    <w:p>
      <w:pPr>
        <w:pStyle w:val="Compact"/>
        <w:numPr>
          <w:ilvl w:val="0"/>
          <w:numId w:val="1005"/>
        </w:numPr>
      </w:pPr>
      <w:r>
        <w:rPr>
          <w:rFonts w:ascii="Times New Roman" w:hAnsi="Times New Roman"/>
          <w:b/>
          <w:bCs/>
          <w:sz w:val="22"/>
        </w:rPr>
        <w:t>Milestone Vesting.</w:t>
      </w:r>
      <w:r>
        <w:rPr>
          <w:rFonts w:ascii="Times New Roman" w:hAnsi="Times New Roman"/>
          <w:sz w:val="22"/>
        </w:rPr>
        <w:t xml:space="preserve"> </w:t>
      </w:r>
      <w:r>
        <w:rPr>
          <w:rFonts w:ascii="Times New Roman" w:hAnsi="Times New Roman"/>
          <w:sz w:val="22"/>
        </w:rPr>
        <w:t>75% of the Shares (0.75% on a fully diluted basis) shall vest upon the achievement of the milestones set out in Schedule A.</w:t>
      </w:r>
    </w:p>
    <w:p>
      <w:pPr>
        <w:numPr>
          <w:ilvl w:val="0"/>
          <w:numId w:val="1006"/>
        </w:numPr>
      </w:pPr>
      <w:r>
        <w:rPr>
          <w:rFonts w:ascii="Times New Roman" w:hAnsi="Times New Roman"/>
          <w:b/>
          <w:bCs/>
          <w:sz w:val="22"/>
        </w:rPr>
        <w:t>Acceleration.</w:t>
      </w:r>
      <w:r>
        <w:rPr>
          <w:rFonts w:ascii="Times New Roman" w:hAnsi="Times New Roman"/>
          <w:sz w:val="22"/>
        </w:rPr>
        <w:t xml:space="preserve"> </w:t>
      </w:r>
      <w:r>
        <w:rPr>
          <w:rFonts w:ascii="Times New Roman" w:hAnsi="Times New Roman"/>
          <w:sz w:val="22"/>
        </w:rPr>
        <w:t>If the Advisor introduces a client that enters into a contract with an initial value of CAD $250,000 or more, all then-unvested Milestone Shares shall immediately vest.</w:t>
      </w:r>
    </w:p>
    <w:p>
      <w:pPr>
        <w:numPr>
          <w:ilvl w:val="0"/>
          <w:numId w:val="1006"/>
        </w:numPr>
      </w:pPr>
      <w:r>
        <w:rPr>
          <w:rFonts w:ascii="Times New Roman" w:hAnsi="Times New Roman"/>
          <w:b/>
          <w:bCs/>
          <w:sz w:val="22"/>
        </w:rPr>
        <w:t>Definitive Equity Documents.</w:t>
      </w:r>
      <w:r>
        <w:rPr>
          <w:rFonts w:ascii="Times New Roman" w:hAnsi="Times New Roman"/>
          <w:sz w:val="22"/>
        </w:rPr>
        <w:t xml:space="preserve"> </w:t>
      </w:r>
      <w:r>
        <w:rPr>
          <w:rFonts w:ascii="Times New Roman" w:hAnsi="Times New Roman"/>
          <w:sz w:val="22"/>
        </w:rPr>
        <w:t>The grant of Shares shall be governed by a separate Share Subscription Agreement, Shareholders' Agreement, and any other documents required by the Company's legal counsel. If the Company does not yet have a formal equity incentive plan, the grant shall be documented by board resolution and share issuance upon vesting.</w:t>
      </w:r>
    </w:p>
    <w:p>
      <w:pPr>
        <w:numPr>
          <w:ilvl w:val="0"/>
          <w:numId w:val="1006"/>
        </w:numPr>
      </w:pPr>
      <w:r>
        <w:rPr>
          <w:rFonts w:ascii="Times New Roman" w:hAnsi="Times New Roman"/>
          <w:b/>
          <w:bCs/>
          <w:sz w:val="22"/>
        </w:rPr>
        <w:t>US Securities Law Compliance.</w:t>
      </w:r>
      <w:r>
        <w:rPr>
          <w:rFonts w:ascii="Times New Roman" w:hAnsi="Times New Roman"/>
          <w:sz w:val="22"/>
        </w:rPr>
        <w:t xml:space="preserve"> </w:t>
      </w:r>
      <w:r>
        <w:rPr>
          <w:rFonts w:ascii="Times New Roman" w:hAnsi="Times New Roman"/>
          <w:sz w:val="22"/>
        </w:rPr>
        <w:t>The Advisor represents and warrants that she is an Accredited Investor, and that the Shares are being acquired for her own account and not with a view to distribution, resale, or transfer in violation of US federal or state securities laws. The Company will rely on this representation in offering the Shares under an available exemption from registration. The Advisor agrees to provide reasonable evidence of Accredited Investor status if requested.</w:t>
      </w:r>
    </w:p>
    <w:p>
      <w:pPr>
        <w:numPr>
          <w:ilvl w:val="0"/>
          <w:numId w:val="1006"/>
        </w:numPr>
      </w:pPr>
      <w:r>
        <w:rPr>
          <w:rFonts w:ascii="Times New Roman" w:hAnsi="Times New Roman"/>
          <w:b/>
          <w:bCs/>
          <w:sz w:val="22"/>
        </w:rPr>
        <w:t>Canadian Tax Election.</w:t>
      </w:r>
      <w:r>
        <w:rPr>
          <w:rFonts w:ascii="Times New Roman" w:hAnsi="Times New Roman"/>
          <w:sz w:val="22"/>
        </w:rPr>
        <w:t xml:space="preserve"> </w:t>
      </w:r>
      <w:r>
        <w:rPr>
          <w:rFonts w:ascii="Times New Roman" w:hAnsi="Times New Roman"/>
          <w:sz w:val="22"/>
        </w:rPr>
        <w:t>The Advisor and the Company may jointly elect under section 85 of the Income Tax Act (Canada) to transfer property for shares at an agreed amount, provided such election is permissible and does not conflict with the Advisor's US tax obligations. The Advisor acknowledges that the election relates solely to Canadian tax consequences and does not determine her US tax treatment, for which she is solely responsible. The Advisor agrees to cooperate in filing any such election and to obtain independent US tax advice at her own expense.</w:t>
      </w:r>
    </w:p>
    <w:p>
      <w:pPr>
        <w:numPr>
          <w:ilvl w:val="0"/>
          <w:numId w:val="1006"/>
        </w:numPr>
      </w:pPr>
      <w:r>
        <w:rPr>
          <w:rFonts w:ascii="Times New Roman" w:hAnsi="Times New Roman"/>
          <w:b/>
          <w:bCs/>
          <w:sz w:val="22"/>
        </w:rPr>
        <w:t>US Tax Acknowledgment.</w:t>
      </w:r>
      <w:r>
        <w:rPr>
          <w:rFonts w:ascii="Times New Roman" w:hAnsi="Times New Roman"/>
          <w:sz w:val="22"/>
        </w:rPr>
        <w:t xml:space="preserve"> </w:t>
      </w:r>
      <w:r>
        <w:rPr>
          <w:rFonts w:ascii="Times New Roman" w:hAnsi="Times New Roman"/>
          <w:sz w:val="22"/>
        </w:rPr>
        <w:t>The Advisor acknowledges that she is a US person for tax purposes and that the acquisition, holding, and disposition of Shares in a Canadian private corporation may have US federal income tax, estate tax, gift tax, and information reporting consequences (including but not limited to potential PFIC, CFC, and Section 83 considerations). The Advisor agrees to obtain independent US tax and legal advice and to comply with all applicable US tax and reporting obligations. The Company makes no representation regarding the US tax treatment of the Shares.</w:t>
      </w:r>
    </w:p>
    <w:p>
      <w:pPr>
        <w:numPr>
          <w:ilvl w:val="0"/>
          <w:numId w:val="1006"/>
        </w:numPr>
      </w:pPr>
      <w:r>
        <w:rPr>
          <w:rFonts w:ascii="Times New Roman" w:hAnsi="Times New Roman"/>
          <w:b/>
          <w:bCs/>
          <w:sz w:val="22"/>
        </w:rPr>
        <w:t>Section 409A.</w:t>
      </w:r>
      <w:r>
        <w:rPr>
          <w:rFonts w:ascii="Times New Roman" w:hAnsi="Times New Roman"/>
          <w:sz w:val="22"/>
        </w:rPr>
        <w:t xml:space="preserve"> </w:t>
      </w:r>
      <w:r>
        <w:rPr>
          <w:rFonts w:ascii="Times New Roman" w:hAnsi="Times New Roman"/>
          <w:sz w:val="22"/>
        </w:rPr>
        <w:t>To the extent any portion of the equity grant is subject to United States Internal Revenue Code Section 409A, the Parties intend that such portion comply with or be exempt from Section 409A. The Company intends to issue Shares at fair market value on the date of issuance and to document the grant consistent with applicable exemptions.</w:t>
      </w:r>
    </w:p>
    <w:bookmarkEnd w:id="13"/>
    <w:bookmarkStart w:id="14" w:name="commission-on-client-contracts"/>
    <w:p>
      <w:pPr>
        <w:pStyle w:val="Heading2"/>
      </w:pPr>
      <w:r>
        <w:t>6. COMMISSION ON CLIENT CONTRACTS</w:t>
      </w:r>
    </w:p>
    <w:p>
      <w:pPr>
        <w:numPr>
          <w:ilvl w:val="0"/>
          <w:numId w:val="1007"/>
        </w:numPr>
      </w:pPr>
      <w:r>
        <w:rPr>
          <w:rFonts w:ascii="Times New Roman" w:hAnsi="Times New Roman"/>
          <w:b/>
          <w:bCs/>
          <w:sz w:val="22"/>
        </w:rPr>
        <w:t>Commission.</w:t>
      </w:r>
      <w:r>
        <w:rPr>
          <w:rFonts w:ascii="Times New Roman" w:hAnsi="Times New Roman"/>
          <w:sz w:val="22"/>
        </w:rPr>
        <w:t xml:space="preserve"> </w:t>
      </w:r>
      <w:r>
        <w:rPr>
          <w:rFonts w:ascii="Times New Roman" w:hAnsi="Times New Roman"/>
          <w:sz w:val="22"/>
        </w:rPr>
        <w:t>The Company shall pay the Advisor a commission equal to</w:t>
      </w:r>
      <w:r>
        <w:rPr>
          <w:rFonts w:ascii="Times New Roman" w:hAnsi="Times New Roman"/>
          <w:sz w:val="22"/>
        </w:rPr>
        <w:t xml:space="preserve"> </w:t>
      </w:r>
      <w:r>
        <w:rPr>
          <w:rFonts w:ascii="Times New Roman" w:hAnsi="Times New Roman"/>
          <w:b/>
          <w:bCs/>
          <w:sz w:val="22"/>
        </w:rPr>
        <w:t>10% of the Year 1 initial contract value</w:t>
      </w:r>
      <w:r>
        <w:rPr>
          <w:rFonts w:ascii="Times New Roman" w:hAnsi="Times New Roman"/>
          <w:sz w:val="22"/>
        </w:rPr>
        <w:t xml:space="preserve"> </w:t>
      </w:r>
      <w:r>
        <w:rPr>
          <w:rFonts w:ascii="Times New Roman" w:hAnsi="Times New Roman"/>
          <w:sz w:val="22"/>
        </w:rPr>
        <w:t>for any client contract entered into by the Company or any of its affiliates (including Separate Entities) with a party introduced by the Advisor.</w:t>
      </w:r>
    </w:p>
    <w:p>
      <w:pPr>
        <w:numPr>
          <w:ilvl w:val="0"/>
          <w:numId w:val="1007"/>
        </w:numPr>
      </w:pPr>
      <w:r>
        <w:rPr>
          <w:rFonts w:ascii="Times New Roman" w:hAnsi="Times New Roman"/>
          <w:b/>
          <w:bCs/>
          <w:sz w:val="22"/>
        </w:rPr>
        <w:t>Eligible Contracts.</w:t>
      </w:r>
      <w:r>
        <w:rPr>
          <w:rFonts w:ascii="Times New Roman" w:hAnsi="Times New Roman"/>
          <w:sz w:val="22"/>
        </w:rPr>
        <w:t xml:space="preserve"> </w:t>
      </w:r>
      <w:r>
        <w:rPr>
          <w:rFonts w:ascii="Times New Roman" w:hAnsi="Times New Roman"/>
          <w:sz w:val="22"/>
        </w:rPr>
        <w:t>This commission applies to both Oction Labs Inc. AI deployment engagements and Oction Consulting and Marketing Inc. service engagements. Payment of commission by a Separate Entity does not entitle the Advisor to any equity or ownership interest in that Separate Entity. There is no annual cap on commissions.</w:t>
      </w:r>
    </w:p>
    <w:p>
      <w:pPr>
        <w:numPr>
          <w:ilvl w:val="0"/>
          <w:numId w:val="1007"/>
        </w:numPr>
      </w:pPr>
      <w:r>
        <w:rPr>
          <w:rFonts w:ascii="Times New Roman" w:hAnsi="Times New Roman"/>
          <w:b/>
          <w:bCs/>
          <w:sz w:val="22"/>
        </w:rPr>
        <w:t>Payment Terms.</w:t>
      </w:r>
      <w:r>
        <w:rPr>
          <w:rFonts w:ascii="Times New Roman" w:hAnsi="Times New Roman"/>
          <w:sz w:val="22"/>
        </w:rPr>
        <w:t xml:space="preserve"> </w:t>
      </w:r>
      <w:r>
        <w:rPr>
          <w:rFonts w:ascii="Times New Roman" w:hAnsi="Times New Roman"/>
          <w:sz w:val="22"/>
        </w:rPr>
        <w:t>Commission is payable net 15 days after the Company receives and clears client payment. Commission is also payable on renewals, extensions, and additional work signed with the same client, provided the original introduction was documented under Section 6(e). Renewals and additional work may be with the Company or any Separate Entity, and commission is payable on all such continued revenue regardless of which entity bills the client.</w:t>
      </w:r>
    </w:p>
    <w:p>
      <w:pPr>
        <w:numPr>
          <w:ilvl w:val="0"/>
          <w:numId w:val="1007"/>
        </w:numPr>
      </w:pPr>
      <w:r>
        <w:rPr>
          <w:rFonts w:ascii="Times New Roman" w:hAnsi="Times New Roman"/>
          <w:b/>
          <w:bCs/>
          <w:sz w:val="22"/>
        </w:rPr>
        <w:t>Attribution.</w:t>
      </w:r>
      <w:r>
        <w:rPr>
          <w:rFonts w:ascii="Times New Roman" w:hAnsi="Times New Roman"/>
          <w:sz w:val="22"/>
        </w:rPr>
        <w:t xml:space="preserve"> </w:t>
      </w:r>
      <w:r>
        <w:rPr>
          <w:rFonts w:ascii="Times New Roman" w:hAnsi="Times New Roman"/>
          <w:sz w:val="22"/>
        </w:rPr>
        <w:t>A client introduction must be documented by a written communication from the Advisor to the prospective client decision-maker (email, LinkedIn message, or similar), with a copy to the Company. The Company has final discretion to determine attribution, provided such determination is made in good faith.</w:t>
      </w:r>
    </w:p>
    <w:p>
      <w:pPr>
        <w:numPr>
          <w:ilvl w:val="0"/>
          <w:numId w:val="1007"/>
        </w:numPr>
      </w:pPr>
      <w:r>
        <w:rPr>
          <w:rFonts w:ascii="Times New Roman" w:hAnsi="Times New Roman"/>
          <w:b/>
          <w:bCs/>
          <w:sz w:val="22"/>
        </w:rPr>
        <w:t>Clawback.</w:t>
      </w:r>
      <w:r>
        <w:rPr>
          <w:rFonts w:ascii="Times New Roman" w:hAnsi="Times New Roman"/>
          <w:sz w:val="22"/>
        </w:rPr>
        <w:t xml:space="preserve"> </w:t>
      </w:r>
      <w:r>
        <w:rPr>
          <w:rFonts w:ascii="Times New Roman" w:hAnsi="Times New Roman"/>
          <w:sz w:val="22"/>
        </w:rPr>
        <w:t>If a client contract is cancelled or fully refunded within 90 days of execution and the Company does not retain any fees, the corresponding commission shall be refunded to the Company or offset against future amounts owed to the Advisor.</w:t>
      </w:r>
    </w:p>
    <w:bookmarkEnd w:id="14"/>
    <w:bookmarkStart w:id="15" w:name="X05c2e4d4cbfcb630c870f3017cae22f722ec897"/>
    <w:p>
      <w:pPr>
        <w:pStyle w:val="Heading2"/>
      </w:pPr>
      <w:r>
        <w:t>7. INTRODUCTION FEE ON STRATEGIC PARTNERSHIPS</w:t>
      </w:r>
    </w:p>
    <w:p>
      <w:pPr>
        <w:numPr>
          <w:ilvl w:val="0"/>
          <w:numId w:val="1008"/>
        </w:numPr>
      </w:pPr>
      <w:r>
        <w:rPr>
          <w:rFonts w:ascii="Times New Roman" w:hAnsi="Times New Roman"/>
          <w:b/>
          <w:bCs/>
          <w:sz w:val="22"/>
        </w:rPr>
        <w:t>Fee.</w:t>
      </w:r>
      <w:r>
        <w:rPr>
          <w:rFonts w:ascii="Times New Roman" w:hAnsi="Times New Roman"/>
          <w:sz w:val="22"/>
        </w:rPr>
        <w:t xml:space="preserve"> </w:t>
      </w:r>
      <w:r>
        <w:rPr>
          <w:rFonts w:ascii="Times New Roman" w:hAnsi="Times New Roman"/>
          <w:sz w:val="22"/>
        </w:rPr>
        <w:t>For commercial partnership transactions directly introduced by the Advisor, the Company shall pay the Advisor a fee equal to</w:t>
      </w:r>
      <w:r>
        <w:rPr>
          <w:rFonts w:ascii="Times New Roman" w:hAnsi="Times New Roman"/>
          <w:sz w:val="22"/>
        </w:rPr>
        <w:t xml:space="preserve"> </w:t>
      </w:r>
      <w:r>
        <w:rPr>
          <w:rFonts w:ascii="Times New Roman" w:hAnsi="Times New Roman"/>
          <w:b/>
          <w:bCs/>
          <w:sz w:val="22"/>
        </w:rPr>
        <w:t>2% of the gross amount received by the Company</w:t>
      </w:r>
      <w:r>
        <w:rPr>
          <w:rFonts w:ascii="Times New Roman" w:hAnsi="Times New Roman"/>
          <w:sz w:val="22"/>
        </w:rPr>
        <w:t>.</w:t>
      </w:r>
    </w:p>
    <w:p>
      <w:pPr>
        <w:numPr>
          <w:ilvl w:val="0"/>
          <w:numId w:val="1008"/>
        </w:numPr>
      </w:pPr>
      <w:r>
        <w:rPr>
          <w:rFonts w:ascii="Times New Roman" w:hAnsi="Times New Roman"/>
          <w:b/>
          <w:bCs/>
          <w:sz w:val="22"/>
        </w:rPr>
        <w:t>Cap and Timing.</w:t>
      </w:r>
      <w:r>
        <w:rPr>
          <w:rFonts w:ascii="Times New Roman" w:hAnsi="Times New Roman"/>
          <w:sz w:val="22"/>
        </w:rPr>
        <w:t xml:space="preserve"> </w:t>
      </w:r>
      <w:r>
        <w:rPr>
          <w:rFonts w:ascii="Times New Roman" w:hAnsi="Times New Roman"/>
          <w:sz w:val="22"/>
        </w:rPr>
        <w:t>There is no cap per transaction. Payment is due at transaction close.</w:t>
      </w:r>
    </w:p>
    <w:p>
      <w:pPr>
        <w:numPr>
          <w:ilvl w:val="0"/>
          <w:numId w:val="1008"/>
        </w:numPr>
      </w:pPr>
      <w:r>
        <w:rPr>
          <w:rFonts w:ascii="Times New Roman" w:hAnsi="Times New Roman"/>
          <w:b/>
          <w:bCs/>
          <w:sz w:val="22"/>
        </w:rPr>
        <w:t>Securities Exclusion.</w:t>
      </w:r>
      <w:r>
        <w:rPr>
          <w:rFonts w:ascii="Times New Roman" w:hAnsi="Times New Roman"/>
          <w:sz w:val="22"/>
        </w:rPr>
        <w:t xml:space="preserve"> </w:t>
      </w:r>
      <w:r>
        <w:rPr>
          <w:rFonts w:ascii="Times New Roman" w:hAnsi="Times New Roman"/>
          <w:sz w:val="22"/>
        </w:rPr>
        <w:t>No fee is payable for introductions that result in the purchase of the Company's equity, debt, or other securities. The Advisor is not authorized to act as a broker, dealer, finder, or placement agent in connection with any securities offering.</w:t>
      </w:r>
    </w:p>
    <w:bookmarkEnd w:id="15"/>
    <w:bookmarkStart w:id="16" w:name="advisory-budget-and-legal-retainer"/>
    <w:p>
      <w:pPr>
        <w:pStyle w:val="Heading2"/>
      </w:pPr>
      <w:r>
        <w:t>8. ADVISORY BUDGET AND LEGAL RETAINER</w:t>
      </w:r>
    </w:p>
    <w:p>
      <w:pPr>
        <w:numPr>
          <w:ilvl w:val="0"/>
          <w:numId w:val="1009"/>
        </w:numPr>
      </w:pPr>
      <w:r>
        <w:rPr>
          <w:rFonts w:ascii="Times New Roman" w:hAnsi="Times New Roman"/>
          <w:b/>
          <w:bCs/>
          <w:sz w:val="22"/>
        </w:rPr>
        <w:t>Advisory Budget.</w:t>
      </w:r>
      <w:r>
        <w:rPr>
          <w:rFonts w:ascii="Times New Roman" w:hAnsi="Times New Roman"/>
          <w:sz w:val="22"/>
        </w:rPr>
        <w:t xml:space="preserve"> </w:t>
      </w:r>
      <w:r>
        <w:rPr>
          <w:rFonts w:ascii="Times New Roman" w:hAnsi="Times New Roman"/>
          <w:sz w:val="22"/>
        </w:rPr>
        <w:t>The Company will provide an annual Advisory Budget of CAD $[Amount] for the Advisor to allocate toward legal fees, compliance costs, IP management expenses, and time spent on advisory matters. The Advisory Budget will be paid or reimbursed monthly against documented time and invoices and reviewed annually; it may increase as the Company grows.</w:t>
      </w:r>
    </w:p>
    <w:p>
      <w:pPr>
        <w:numPr>
          <w:ilvl w:val="0"/>
          <w:numId w:val="1009"/>
        </w:numPr>
      </w:pPr>
      <w:r>
        <w:rPr>
          <w:rFonts w:ascii="Times New Roman" w:hAnsi="Times New Roman"/>
          <w:b/>
          <w:bCs/>
          <w:sz w:val="22"/>
        </w:rPr>
        <w:t>Separate Retainer.</w:t>
      </w:r>
      <w:r>
        <w:rPr>
          <w:rFonts w:ascii="Times New Roman" w:hAnsi="Times New Roman"/>
          <w:sz w:val="22"/>
        </w:rPr>
        <w:t xml:space="preserve"> </w:t>
      </w:r>
      <w:r>
        <w:rPr>
          <w:rFonts w:ascii="Times New Roman" w:hAnsi="Times New Roman"/>
          <w:sz w:val="22"/>
        </w:rPr>
        <w:t>Any services beyond the Advisory Budget will be set out in a separate Legal Services Retainer Agreement.</w:t>
      </w:r>
    </w:p>
    <w:p>
      <w:pPr>
        <w:numPr>
          <w:ilvl w:val="0"/>
          <w:numId w:val="1009"/>
        </w:numPr>
      </w:pPr>
      <w:r>
        <w:rPr>
          <w:rFonts w:ascii="Times New Roman" w:hAnsi="Times New Roman"/>
          <w:b/>
          <w:bCs/>
          <w:sz w:val="22"/>
        </w:rPr>
        <w:t>Jurisdictional Limitation.</w:t>
      </w:r>
      <w:r>
        <w:rPr>
          <w:rFonts w:ascii="Times New Roman" w:hAnsi="Times New Roman"/>
          <w:sz w:val="22"/>
        </w:rPr>
        <w:t xml:space="preserve"> </w:t>
      </w:r>
      <w:r>
        <w:rPr>
          <w:rFonts w:ascii="Times New Roman" w:hAnsi="Times New Roman"/>
          <w:sz w:val="22"/>
        </w:rPr>
        <w:t>Advisor is not authorized to provide Canadian legal advice unless separately licensed to do so in a Canadian jurisdiction. Canadian legal advice will be provided by qualified Canadian counsel engaged by the Company.</w:t>
      </w:r>
    </w:p>
    <w:bookmarkEnd w:id="16"/>
    <w:bookmarkStart w:id="17" w:name="expenses"/>
    <w:p>
      <w:pPr>
        <w:pStyle w:val="Heading2"/>
      </w:pPr>
      <w:r>
        <w:t>9. EXPENSES</w:t>
      </w:r>
    </w:p>
    <w:p>
      <w:pPr>
        <w:pStyle w:val="FirstParagraph"/>
      </w:pPr>
      <w:r>
        <w:rPr>
          <w:rFonts w:ascii="Times New Roman" w:hAnsi="Times New Roman"/>
          <w:sz w:val="22"/>
        </w:rPr>
        <w:t>The Advisor shall be responsible for all ordinary expenses incurred in performing advisory services, except for pre-approved expenses reimbursed in accordance with the Company's expense policy or paid from the Advisory Budget.</w:t>
      </w:r>
    </w:p>
    <w:bookmarkEnd w:id="17"/>
    <w:bookmarkStart w:id="18" w:name="confidentiality"/>
    <w:p>
      <w:pPr>
        <w:pStyle w:val="Heading2"/>
      </w:pPr>
      <w:r>
        <w:t>10. CONFIDENTIALITY</w:t>
      </w:r>
    </w:p>
    <w:p>
      <w:pPr>
        <w:numPr>
          <w:ilvl w:val="0"/>
          <w:numId w:val="1010"/>
        </w:numPr>
      </w:pPr>
      <w:r>
        <w:rPr>
          <w:rFonts w:ascii="Times New Roman" w:hAnsi="Times New Roman"/>
          <w:b/>
          <w:bCs/>
          <w:sz w:val="22"/>
        </w:rPr>
        <w:t>Confidential Information.</w:t>
      </w:r>
      <w:r>
        <w:rPr>
          <w:rFonts w:ascii="Times New Roman" w:hAnsi="Times New Roman"/>
          <w:sz w:val="22"/>
        </w:rPr>
        <w:t xml:space="preserve"> </w:t>
      </w:r>
      <w:r>
        <w:rPr>
          <w:rFonts w:ascii="Times New Roman" w:hAnsi="Times New Roman"/>
          <w:sz w:val="22"/>
        </w:rPr>
        <w:t>"Confidential Information" means all non-public information disclosed by the Company to the Advisor, including business plans, client lists, pricing, technology, financial information, product roadmaps, and proprietary data.</w:t>
      </w:r>
    </w:p>
    <w:p>
      <w:pPr>
        <w:numPr>
          <w:ilvl w:val="0"/>
          <w:numId w:val="1010"/>
        </w:numPr>
      </w:pPr>
      <w:r>
        <w:rPr>
          <w:rFonts w:ascii="Times New Roman" w:hAnsi="Times New Roman"/>
          <w:b/>
          <w:bCs/>
          <w:sz w:val="22"/>
        </w:rPr>
        <w:t>Obligations.</w:t>
      </w:r>
      <w:r>
        <w:rPr>
          <w:rFonts w:ascii="Times New Roman" w:hAnsi="Times New Roman"/>
          <w:sz w:val="22"/>
        </w:rPr>
        <w:t xml:space="preserve"> </w:t>
      </w:r>
      <w:r>
        <w:rPr>
          <w:rFonts w:ascii="Times New Roman" w:hAnsi="Times New Roman"/>
          <w:sz w:val="22"/>
        </w:rPr>
        <w:t>The Advisor agrees to hold all Confidential Information in strict confidence and not disclose it to any third party without the Company's prior written consent, except as required by law.</w:t>
      </w:r>
    </w:p>
    <w:p>
      <w:pPr>
        <w:numPr>
          <w:ilvl w:val="0"/>
          <w:numId w:val="1010"/>
        </w:numPr>
      </w:pPr>
      <w:r>
        <w:rPr>
          <w:rFonts w:ascii="Times New Roman" w:hAnsi="Times New Roman"/>
          <w:b/>
          <w:bCs/>
          <w:sz w:val="22"/>
        </w:rPr>
        <w:t>Exceptions.</w:t>
      </w:r>
      <w:r>
        <w:rPr>
          <w:rFonts w:ascii="Times New Roman" w:hAnsi="Times New Roman"/>
          <w:sz w:val="22"/>
        </w:rPr>
        <w:t xml:space="preserve"> </w:t>
      </w:r>
      <w:r>
        <w:rPr>
          <w:rFonts w:ascii="Times New Roman" w:hAnsi="Times New Roman"/>
          <w:sz w:val="22"/>
        </w:rPr>
        <w:t>Confidential Information does not include information that: (i) is or becomes publicly available through no breach of this Agreement; (ii) was rightfully known by the Advisor prior to disclosure; (iii) is rightfully received from a third party without restriction; or (iv) is independently developed without use of the Confidential Information.</w:t>
      </w:r>
    </w:p>
    <w:p>
      <w:pPr>
        <w:numPr>
          <w:ilvl w:val="0"/>
          <w:numId w:val="1010"/>
        </w:numPr>
      </w:pPr>
      <w:r>
        <w:rPr>
          <w:rFonts w:ascii="Times New Roman" w:hAnsi="Times New Roman"/>
          <w:b/>
          <w:bCs/>
          <w:sz w:val="22"/>
        </w:rPr>
        <w:t>Term.</w:t>
      </w:r>
      <w:r>
        <w:rPr>
          <w:rFonts w:ascii="Times New Roman" w:hAnsi="Times New Roman"/>
          <w:sz w:val="22"/>
        </w:rPr>
        <w:t xml:space="preserve"> </w:t>
      </w:r>
      <w:r>
        <w:rPr>
          <w:rFonts w:ascii="Times New Roman" w:hAnsi="Times New Roman"/>
          <w:sz w:val="22"/>
        </w:rPr>
        <w:t>The confidentiality obligations survive termination of this Agreement for a period of 5 years.</w:t>
      </w:r>
    </w:p>
    <w:bookmarkEnd w:id="18"/>
    <w:bookmarkStart w:id="19" w:name="intellectual-property"/>
    <w:p>
      <w:pPr>
        <w:pStyle w:val="Heading2"/>
      </w:pPr>
      <w:r>
        <w:t>11. INTELLECTUAL PROPERTY</w:t>
      </w:r>
    </w:p>
    <w:p>
      <w:pPr>
        <w:numPr>
          <w:ilvl w:val="0"/>
          <w:numId w:val="1011"/>
        </w:numPr>
      </w:pPr>
      <w:r>
        <w:rPr>
          <w:rFonts w:ascii="Times New Roman" w:hAnsi="Times New Roman"/>
          <w:b/>
          <w:bCs/>
          <w:sz w:val="22"/>
        </w:rPr>
        <w:t>Ownership.</w:t>
      </w:r>
      <w:r>
        <w:rPr>
          <w:rFonts w:ascii="Times New Roman" w:hAnsi="Times New Roman"/>
          <w:sz w:val="22"/>
        </w:rPr>
        <w:t xml:space="preserve"> </w:t>
      </w:r>
      <w:r>
        <w:rPr>
          <w:rFonts w:ascii="Times New Roman" w:hAnsi="Times New Roman"/>
          <w:sz w:val="22"/>
        </w:rPr>
        <w:t>Any work product, inventions, know-how, data, documents, or other materials created or conceived by the Advisor in the course of performing advisory services for the Company shall be the sole and exclusive property of the Company.</w:t>
      </w:r>
    </w:p>
    <w:p>
      <w:pPr>
        <w:numPr>
          <w:ilvl w:val="0"/>
          <w:numId w:val="1011"/>
        </w:numPr>
      </w:pPr>
      <w:r>
        <w:rPr>
          <w:rFonts w:ascii="Times New Roman" w:hAnsi="Times New Roman"/>
          <w:b/>
          <w:bCs/>
          <w:sz w:val="22"/>
        </w:rPr>
        <w:t>Assignment.</w:t>
      </w:r>
      <w:r>
        <w:rPr>
          <w:rFonts w:ascii="Times New Roman" w:hAnsi="Times New Roman"/>
          <w:sz w:val="22"/>
        </w:rPr>
        <w:t xml:space="preserve"> </w:t>
      </w:r>
      <w:r>
        <w:rPr>
          <w:rFonts w:ascii="Times New Roman" w:hAnsi="Times New Roman"/>
          <w:sz w:val="22"/>
        </w:rPr>
        <w:t>The Advisor hereby assigns to the Company all right, title, and interest in and to any such work product, including all intellectual property rights. The Advisor agrees to execute any documents reasonably required to perfect the Company's ownership.</w:t>
      </w:r>
    </w:p>
    <w:p>
      <w:pPr>
        <w:numPr>
          <w:ilvl w:val="0"/>
          <w:numId w:val="1011"/>
        </w:numPr>
      </w:pPr>
      <w:r>
        <w:rPr>
          <w:rFonts w:ascii="Times New Roman" w:hAnsi="Times New Roman"/>
          <w:b/>
          <w:bCs/>
          <w:sz w:val="22"/>
        </w:rPr>
        <w:t>Moral Rights.</w:t>
      </w:r>
      <w:r>
        <w:rPr>
          <w:rFonts w:ascii="Times New Roman" w:hAnsi="Times New Roman"/>
          <w:sz w:val="22"/>
        </w:rPr>
        <w:t xml:space="preserve"> </w:t>
      </w:r>
      <w:r>
        <w:rPr>
          <w:rFonts w:ascii="Times New Roman" w:hAnsi="Times New Roman"/>
          <w:sz w:val="22"/>
        </w:rPr>
        <w:t>To the extent any work product is not assignable by law, the Advisor grants the Company a perpetual, irrevocable, royalty-free, worldwide license to use, reproduce, modify, and distribute such work product.</w:t>
      </w:r>
    </w:p>
    <w:bookmarkEnd w:id="19"/>
    <w:bookmarkStart w:id="20" w:name="representations-and-warranties"/>
    <w:p>
      <w:pPr>
        <w:pStyle w:val="Heading2"/>
      </w:pPr>
      <w:r>
        <w:t>12. REPRESENTATIONS AND WARRANTIES</w:t>
      </w:r>
    </w:p>
    <w:p>
      <w:pPr>
        <w:pStyle w:val="FirstParagraph"/>
      </w:pPr>
      <w:r>
        <w:rPr>
          <w:rFonts w:ascii="Times New Roman" w:hAnsi="Times New Roman"/>
          <w:sz w:val="22"/>
        </w:rPr>
        <w:t>The Advisor represents and warrants that:</w:t>
      </w:r>
    </w:p>
    <w:p>
      <w:pPr>
        <w:numPr>
          <w:ilvl w:val="0"/>
          <w:numId w:val="1012"/>
        </w:numPr>
      </w:pPr>
      <w:r>
        <w:rPr>
          <w:rFonts w:ascii="Times New Roman" w:hAnsi="Times New Roman"/>
          <w:sz w:val="22"/>
        </w:rPr>
        <w:t>The Advisor has the full right and authority to enter into this Agreement and to perform the services contemplated hereunder;</w:t>
      </w:r>
    </w:p>
    <w:p>
      <w:pPr>
        <w:numPr>
          <w:ilvl w:val="0"/>
          <w:numId w:val="1012"/>
        </w:numPr>
      </w:pPr>
      <w:r>
        <w:rPr>
          <w:rFonts w:ascii="Times New Roman" w:hAnsi="Times New Roman"/>
          <w:sz w:val="22"/>
        </w:rPr>
        <w:t>The Advisor's performance under this Agreement will not breach any agreement with a third party;</w:t>
      </w:r>
    </w:p>
    <w:p>
      <w:pPr>
        <w:numPr>
          <w:ilvl w:val="0"/>
          <w:numId w:val="1012"/>
        </w:numPr>
      </w:pPr>
      <w:r>
        <w:rPr>
          <w:rFonts w:ascii="Times New Roman" w:hAnsi="Times New Roman"/>
          <w:sz w:val="22"/>
        </w:rPr>
        <w:t>The Advisor is an Accredited Investor and will provide evidence if requested;</w:t>
      </w:r>
    </w:p>
    <w:p>
      <w:pPr>
        <w:numPr>
          <w:ilvl w:val="0"/>
          <w:numId w:val="1012"/>
        </w:numPr>
      </w:pPr>
      <w:r>
        <w:rPr>
          <w:rFonts w:ascii="Times New Roman" w:hAnsi="Times New Roman"/>
          <w:sz w:val="22"/>
        </w:rPr>
        <w:t>The Advisor will comply with all applicable laws, regulations, and professional rules in performing advisory services; and</w:t>
      </w:r>
    </w:p>
    <w:p>
      <w:pPr>
        <w:numPr>
          <w:ilvl w:val="0"/>
          <w:numId w:val="1012"/>
        </w:numPr>
      </w:pPr>
      <w:r>
        <w:rPr>
          <w:rFonts w:ascii="Times New Roman" w:hAnsi="Times New Roman"/>
          <w:sz w:val="22"/>
        </w:rPr>
        <w:t>The Advisor is not subject to any sanctions, embargoes, or restrictions that would prevent the Advisor from performing services for the Company.</w:t>
      </w:r>
    </w:p>
    <w:bookmarkEnd w:id="20"/>
    <w:bookmarkStart w:id="21" w:name="non-solicitation"/>
    <w:p>
      <w:pPr>
        <w:pStyle w:val="Heading2"/>
      </w:pPr>
      <w:r>
        <w:t>13. NON-SOLICITATION</w:t>
      </w:r>
    </w:p>
    <w:p>
      <w:pPr>
        <w:pStyle w:val="FirstParagraph"/>
      </w:pPr>
      <w:r>
        <w:rPr>
          <w:rFonts w:ascii="Times New Roman" w:hAnsi="Times New Roman"/>
          <w:sz w:val="22"/>
        </w:rPr>
        <w:t>During the Term and for a period of 12 months following termination, the Advisor shall not, directly or indirectly, solicit, induce, recruit, or encourage any of the Company's employees, contractors, clients, or advisors to terminate their relationship with the Company or to accept employment or engagement with any other person or entity. This restriction does not prohibit general solicitations not targeted at such persons.</w:t>
      </w:r>
    </w:p>
    <w:bookmarkEnd w:id="21"/>
    <w:bookmarkStart w:id="22" w:name="termination"/>
    <w:p>
      <w:pPr>
        <w:pStyle w:val="Heading2"/>
      </w:pPr>
      <w:r>
        <w:t>14. TERMINATION</w:t>
      </w:r>
    </w:p>
    <w:p>
      <w:pPr>
        <w:numPr>
          <w:ilvl w:val="0"/>
          <w:numId w:val="1013"/>
        </w:numPr>
      </w:pPr>
      <w:r>
        <w:rPr>
          <w:rFonts w:ascii="Times New Roman" w:hAnsi="Times New Roman"/>
          <w:b/>
          <w:bCs/>
          <w:sz w:val="22"/>
        </w:rPr>
        <w:t>By Either Party.</w:t>
      </w:r>
      <w:r>
        <w:rPr>
          <w:rFonts w:ascii="Times New Roman" w:hAnsi="Times New Roman"/>
          <w:sz w:val="22"/>
        </w:rPr>
        <w:t xml:space="preserve"> </w:t>
      </w:r>
      <w:r>
        <w:rPr>
          <w:rFonts w:ascii="Times New Roman" w:hAnsi="Times New Roman"/>
          <w:sz w:val="22"/>
        </w:rPr>
        <w:t>Either party may terminate this Agreement with 30 days' written notice.</w:t>
      </w:r>
    </w:p>
    <w:p>
      <w:pPr>
        <w:numPr>
          <w:ilvl w:val="0"/>
          <w:numId w:val="1013"/>
        </w:numPr>
      </w:pPr>
      <w:r>
        <w:rPr>
          <w:rFonts w:ascii="Times New Roman" w:hAnsi="Times New Roman"/>
          <w:b/>
          <w:bCs/>
          <w:sz w:val="22"/>
        </w:rPr>
        <w:t>For Cause.</w:t>
      </w:r>
      <w:r>
        <w:rPr>
          <w:rFonts w:ascii="Times New Roman" w:hAnsi="Times New Roman"/>
          <w:sz w:val="22"/>
        </w:rPr>
        <w:t xml:space="preserve"> </w:t>
      </w:r>
      <w:r>
        <w:rPr>
          <w:rFonts w:ascii="Times New Roman" w:hAnsi="Times New Roman"/>
          <w:sz w:val="22"/>
        </w:rPr>
        <w:t>The Company may terminate this Agreement immediately upon written notice if the Advisor materially breaches this Agreement and fails to cure such breach within 10 business days after receiving written notice.</w:t>
      </w:r>
    </w:p>
    <w:p>
      <w:pPr>
        <w:numPr>
          <w:ilvl w:val="0"/>
          <w:numId w:val="1013"/>
        </w:numPr>
      </w:pPr>
      <w:r>
        <w:rPr>
          <w:rFonts w:ascii="Times New Roman" w:hAnsi="Times New Roman"/>
          <w:b/>
          <w:bCs/>
          <w:sz w:val="22"/>
        </w:rPr>
        <w:t>Effect of Termination.</w:t>
      </w:r>
      <w:r>
        <w:rPr>
          <w:rFonts w:ascii="Times New Roman" w:hAnsi="Times New Roman"/>
          <w:sz w:val="22"/>
        </w:rPr>
        <w:t xml:space="preserve"> </w:t>
      </w:r>
      <w:r>
        <w:rPr>
          <w:rFonts w:ascii="Times New Roman" w:hAnsi="Times New Roman"/>
          <w:sz w:val="22"/>
        </w:rPr>
        <w:t>Upon termination, all unvested Shares shall be forfeited. Vested Shares, earned commissions, fees, and any earned but unpaid Advisory Budget allocations remain payable subject to clawback and set-off rights.</w:t>
      </w:r>
    </w:p>
    <w:bookmarkEnd w:id="22"/>
    <w:bookmarkStart w:id="23" w:name="indemnification"/>
    <w:p>
      <w:pPr>
        <w:pStyle w:val="Heading2"/>
      </w:pPr>
      <w:r>
        <w:t>15. INDEMNIFICATION</w:t>
      </w:r>
    </w:p>
    <w:p>
      <w:pPr>
        <w:pStyle w:val="FirstParagraph"/>
      </w:pPr>
      <w:r>
        <w:rPr>
          <w:rFonts w:ascii="Times New Roman" w:hAnsi="Times New Roman"/>
          <w:sz w:val="22"/>
        </w:rPr>
        <w:t>The Advisor shall indemnify and hold harmless the Company and its directors, officers, employees, and agents from and against any and all claims, damages, losses, liabilities, costs, and expenses (including reasonable legal fees) arising out of or relating to: (a) any breach by the Advisor of this Agreement; (b) any negligent or wrongful act or omission by the Advisor; or (c) any breach of the Advisor's representations or warranties.</w:t>
      </w:r>
    </w:p>
    <w:bookmarkEnd w:id="23"/>
    <w:bookmarkStart w:id="24" w:name="limitation-of-liability"/>
    <w:p>
      <w:pPr>
        <w:pStyle w:val="Heading2"/>
      </w:pPr>
      <w:r>
        <w:t>16. LIMITATION OF LIABILITY</w:t>
      </w:r>
    </w:p>
    <w:p>
      <w:pPr>
        <w:pStyle w:val="FirstParagraph"/>
      </w:pPr>
      <w:r>
        <w:rPr>
          <w:rFonts w:ascii="Times New Roman" w:hAnsi="Times New Roman"/>
          <w:sz w:val="22"/>
        </w:rPr>
        <w:t>In no event shall either party be liable to the other for any indirect, incidental, special, consequential, or punitive damages, including lost profits, arising out of or relating to this Agreement, even if advised of the possibility of such damages. The Company's aggregate liability under this Agreement shall not exceed the total amount of fees paid or payable to the Advisor under this Agreement in the 12 months preceding the claim.</w:t>
      </w:r>
    </w:p>
    <w:bookmarkEnd w:id="24"/>
    <w:bookmarkStart w:id="25" w:name="dispute-resolution"/>
    <w:p>
      <w:pPr>
        <w:pStyle w:val="Heading2"/>
      </w:pPr>
      <w:r>
        <w:t>17. DISPUTE RESOLUTION</w:t>
      </w:r>
    </w:p>
    <w:p>
      <w:pPr>
        <w:numPr>
          <w:ilvl w:val="0"/>
          <w:numId w:val="1014"/>
        </w:numPr>
      </w:pPr>
      <w:r>
        <w:rPr>
          <w:rFonts w:ascii="Times New Roman" w:hAnsi="Times New Roman"/>
          <w:b/>
          <w:bCs/>
          <w:sz w:val="22"/>
        </w:rPr>
        <w:t>Negotiation.</w:t>
      </w:r>
      <w:r>
        <w:rPr>
          <w:rFonts w:ascii="Times New Roman" w:hAnsi="Times New Roman"/>
          <w:sz w:val="22"/>
        </w:rPr>
        <w:t xml:space="preserve"> </w:t>
      </w:r>
      <w:r>
        <w:rPr>
          <w:rFonts w:ascii="Times New Roman" w:hAnsi="Times New Roman"/>
          <w:sz w:val="22"/>
        </w:rPr>
        <w:t>The parties shall first attempt to resolve any dispute arising out of or relating to this Agreement through good-faith negotiation.</w:t>
      </w:r>
    </w:p>
    <w:p>
      <w:pPr>
        <w:numPr>
          <w:ilvl w:val="0"/>
          <w:numId w:val="1014"/>
        </w:numPr>
      </w:pPr>
      <w:r>
        <w:rPr>
          <w:rFonts w:ascii="Times New Roman" w:hAnsi="Times New Roman"/>
          <w:b/>
          <w:bCs/>
          <w:sz w:val="22"/>
        </w:rPr>
        <w:t>Mediation.</w:t>
      </w:r>
      <w:r>
        <w:rPr>
          <w:rFonts w:ascii="Times New Roman" w:hAnsi="Times New Roman"/>
          <w:sz w:val="22"/>
        </w:rPr>
        <w:t xml:space="preserve"> </w:t>
      </w:r>
      <w:r>
        <w:rPr>
          <w:rFonts w:ascii="Times New Roman" w:hAnsi="Times New Roman"/>
          <w:sz w:val="22"/>
        </w:rPr>
        <w:t>If the dispute cannot be resolved through negotiation within 30 days, either party may submit the dispute to non-binding mediation in Calgary, Alberta.</w:t>
      </w:r>
    </w:p>
    <w:p>
      <w:pPr>
        <w:numPr>
          <w:ilvl w:val="0"/>
          <w:numId w:val="1014"/>
        </w:numPr>
      </w:pPr>
      <w:r>
        <w:rPr>
          <w:rFonts w:ascii="Times New Roman" w:hAnsi="Times New Roman"/>
          <w:b/>
          <w:bCs/>
          <w:sz w:val="22"/>
        </w:rPr>
        <w:t>Arbitration.</w:t>
      </w:r>
      <w:r>
        <w:rPr>
          <w:rFonts w:ascii="Times New Roman" w:hAnsi="Times New Roman"/>
          <w:sz w:val="22"/>
        </w:rPr>
        <w:t xml:space="preserve"> </w:t>
      </w:r>
      <w:r>
        <w:rPr>
          <w:rFonts w:ascii="Times New Roman" w:hAnsi="Times New Roman"/>
          <w:sz w:val="22"/>
        </w:rPr>
        <w:t>If mediation does not resolve the dispute, either party may pursue binding arbitration in Calgary, Alberta, in accordance with the Arbitration Act of Alberta. The arbitrator's decision shall be final and binding.</w:t>
      </w:r>
    </w:p>
    <w:bookmarkEnd w:id="25"/>
    <w:bookmarkStart w:id="26" w:name="general-provisions"/>
    <w:p>
      <w:pPr>
        <w:pStyle w:val="Heading2"/>
      </w:pPr>
      <w:r>
        <w:t>18. GENERAL PROVISIONS</w:t>
      </w:r>
    </w:p>
    <w:p>
      <w:pPr>
        <w:numPr>
          <w:ilvl w:val="0"/>
          <w:numId w:val="1015"/>
        </w:numPr>
      </w:pPr>
      <w:r>
        <w:rPr>
          <w:rFonts w:ascii="Times New Roman" w:hAnsi="Times New Roman"/>
          <w:b/>
          <w:bCs/>
          <w:sz w:val="22"/>
        </w:rPr>
        <w:t>Entire Agreement.</w:t>
      </w:r>
      <w:r>
        <w:rPr>
          <w:rFonts w:ascii="Times New Roman" w:hAnsi="Times New Roman"/>
          <w:sz w:val="22"/>
        </w:rPr>
        <w:t xml:space="preserve"> </w:t>
      </w:r>
      <w:r>
        <w:rPr>
          <w:rFonts w:ascii="Times New Roman" w:hAnsi="Times New Roman"/>
          <w:sz w:val="22"/>
        </w:rPr>
        <w:t>This Agreement constitutes the entire agreement between the parties with respect to the subject matter hereof and supersedes all prior agreements, understandings, negotiations, and discussions, whether oral or written.</w:t>
      </w:r>
    </w:p>
    <w:p>
      <w:pPr>
        <w:numPr>
          <w:ilvl w:val="0"/>
          <w:numId w:val="1015"/>
        </w:numPr>
      </w:pPr>
      <w:r>
        <w:rPr>
          <w:rFonts w:ascii="Times New Roman" w:hAnsi="Times New Roman"/>
          <w:b/>
          <w:bCs/>
          <w:sz w:val="22"/>
        </w:rPr>
        <w:t>Amendment.</w:t>
      </w:r>
      <w:r>
        <w:rPr>
          <w:rFonts w:ascii="Times New Roman" w:hAnsi="Times New Roman"/>
          <w:sz w:val="22"/>
        </w:rPr>
        <w:t xml:space="preserve"> </w:t>
      </w:r>
      <w:r>
        <w:rPr>
          <w:rFonts w:ascii="Times New Roman" w:hAnsi="Times New Roman"/>
          <w:sz w:val="22"/>
        </w:rPr>
        <w:t>No amendment or modification of this Agreement shall be valid unless in writing and signed by both parties.</w:t>
      </w:r>
    </w:p>
    <w:p>
      <w:pPr>
        <w:numPr>
          <w:ilvl w:val="0"/>
          <w:numId w:val="1015"/>
        </w:numPr>
      </w:pPr>
      <w:r>
        <w:rPr>
          <w:rFonts w:ascii="Times New Roman" w:hAnsi="Times New Roman"/>
          <w:b/>
          <w:bCs/>
          <w:sz w:val="22"/>
        </w:rPr>
        <w:t>Waiver.</w:t>
      </w:r>
      <w:r>
        <w:rPr>
          <w:rFonts w:ascii="Times New Roman" w:hAnsi="Times New Roman"/>
          <w:sz w:val="22"/>
        </w:rPr>
        <w:t xml:space="preserve"> </w:t>
      </w:r>
      <w:r>
        <w:rPr>
          <w:rFonts w:ascii="Times New Roman" w:hAnsi="Times New Roman"/>
          <w:sz w:val="22"/>
        </w:rPr>
        <w:t>No waiver of any provision of this Agreement shall be effective unless in writing. A waiver of any breach shall not constitute a waiver of any subsequent breach.</w:t>
      </w:r>
    </w:p>
    <w:p>
      <w:pPr>
        <w:numPr>
          <w:ilvl w:val="0"/>
          <w:numId w:val="1015"/>
        </w:numPr>
      </w:pPr>
      <w:r>
        <w:rPr>
          <w:rFonts w:ascii="Times New Roman" w:hAnsi="Times New Roman"/>
          <w:b/>
          <w:bCs/>
          <w:sz w:val="22"/>
        </w:rPr>
        <w:t>Severability.</w:t>
      </w:r>
      <w:r>
        <w:rPr>
          <w:rFonts w:ascii="Times New Roman" w:hAnsi="Times New Roman"/>
          <w:sz w:val="22"/>
        </w:rPr>
        <w:t xml:space="preserve"> </w:t>
      </w:r>
      <w:r>
        <w:rPr>
          <w:rFonts w:ascii="Times New Roman" w:hAnsi="Times New Roman"/>
          <w:sz w:val="22"/>
        </w:rPr>
        <w:t>If any provision of this Agreement is held to be invalid or unenforceable, the remaining provisions shall continue in full force and effect.</w:t>
      </w:r>
    </w:p>
    <w:p>
      <w:pPr>
        <w:numPr>
          <w:ilvl w:val="0"/>
          <w:numId w:val="1015"/>
        </w:numPr>
      </w:pPr>
      <w:r>
        <w:rPr>
          <w:rFonts w:ascii="Times New Roman" w:hAnsi="Times New Roman"/>
          <w:b/>
          <w:bCs/>
          <w:sz w:val="22"/>
        </w:rPr>
        <w:t>Assignment.</w:t>
      </w:r>
      <w:r>
        <w:rPr>
          <w:rFonts w:ascii="Times New Roman" w:hAnsi="Times New Roman"/>
          <w:sz w:val="22"/>
        </w:rPr>
        <w:t xml:space="preserve"> </w:t>
      </w:r>
      <w:r>
        <w:rPr>
          <w:rFonts w:ascii="Times New Roman" w:hAnsi="Times New Roman"/>
          <w:sz w:val="22"/>
        </w:rPr>
        <w:t>The Advisor may not assign this Agreement without the Company's prior written consent. The Company may assign this Agreement to an Affiliate or successor without the Advisor's consent.</w:t>
      </w:r>
    </w:p>
    <w:p>
      <w:pPr>
        <w:numPr>
          <w:ilvl w:val="0"/>
          <w:numId w:val="1015"/>
        </w:numPr>
      </w:pPr>
      <w:r>
        <w:rPr>
          <w:rFonts w:ascii="Times New Roman" w:hAnsi="Times New Roman"/>
          <w:b/>
          <w:bCs/>
          <w:sz w:val="22"/>
        </w:rPr>
        <w:t>Survival.</w:t>
      </w:r>
      <w:r>
        <w:rPr>
          <w:rFonts w:ascii="Times New Roman" w:hAnsi="Times New Roman"/>
          <w:sz w:val="22"/>
        </w:rPr>
        <w:t xml:space="preserve"> </w:t>
      </w:r>
      <w:r>
        <w:rPr>
          <w:rFonts w:ascii="Times New Roman" w:hAnsi="Times New Roman"/>
          <w:sz w:val="22"/>
        </w:rPr>
        <w:t>Sections 10 (Confidentiality), 11 (Intellectual Property), 13 (Non-Solicitation), 15 (Indemnification), 16 (Limitation of Liability), 17 (Dispute Resolution), 18 (General Provisions), and 19 (Notices) shall survive termination of this Agreement.</w:t>
      </w:r>
    </w:p>
    <w:bookmarkEnd w:id="26"/>
    <w:bookmarkStart w:id="27" w:name="notices"/>
    <w:p>
      <w:pPr>
        <w:pStyle w:val="Heading2"/>
      </w:pPr>
      <w:r>
        <w:t>19. NOTICES</w:t>
      </w:r>
    </w:p>
    <w:p>
      <w:pPr>
        <w:pStyle w:val="FirstParagraph"/>
      </w:pPr>
      <w:r>
        <w:rPr>
          <w:rFonts w:ascii="Times New Roman" w:hAnsi="Times New Roman"/>
          <w:sz w:val="22"/>
        </w:rPr>
        <w:t>Any notice required or permitted under this Agreement shall be in writing and delivered personally, by email with read receipt, or by prepaid registered mail to the addresses set out above or to such other address as a party may designate in writing. Email notice shall be deemed received on the next business day if sent before 5:00 p.m. local time, or the second business day if sent thereafter.</w:t>
      </w:r>
    </w:p>
    <w:bookmarkEnd w:id="27"/>
    <w:bookmarkStart w:id="28" w:name="governing-law"/>
    <w:p>
      <w:pPr>
        <w:pStyle w:val="Heading2"/>
      </w:pPr>
      <w:r>
        <w:t>20. GOVERNING LAW</w:t>
      </w:r>
    </w:p>
    <w:p>
      <w:pPr>
        <w:pStyle w:val="FirstParagraph"/>
      </w:pPr>
      <w:r>
        <w:rPr>
          <w:rFonts w:ascii="Times New Roman" w:hAnsi="Times New Roman"/>
          <w:sz w:val="22"/>
        </w:rPr>
        <w:t>This Agreement shall be governed by and construed in accordance with the laws of the Province of Alberta and the federal laws of Canada applicable therein.</w:t>
      </w:r>
    </w:p>
    <w:p>
      <w:r>
        <w:rPr>
          <w:rFonts w:ascii="Times New Roman" w:hAnsi="Times New Roman"/>
          <w:sz w:val="22"/>
        </w:rPr>
      </w:r>
    </w:p>
    <w:p>
      <w:pPr>
        <w:pStyle w:val="FirstParagraph"/>
      </w:pPr>
      <w:r>
        <w:rPr>
          <w:rFonts w:ascii="Times New Roman" w:hAnsi="Times New Roman"/>
          <w:b/>
          <w:bCs/>
          <w:sz w:val="22"/>
        </w:rPr>
        <w:t>IN WITNESS WHEREOF</w:t>
      </w:r>
      <w:r>
        <w:rPr>
          <w:rFonts w:ascii="Times New Roman" w:hAnsi="Times New Roman"/>
          <w:sz w:val="22"/>
        </w:rPr>
        <w:t>, the parties have executed this Agreement as of the Effective Date.</w:t>
      </w:r>
    </w:p>
    <w:p>
      <w:pPr>
        <w:pStyle w:val="BodyText"/>
      </w:pPr>
      <w:r>
        <w:rPr>
          <w:rFonts w:ascii="Times New Roman" w:hAnsi="Times New Roman"/>
          <w:b/>
          <w:bCs/>
          <w:sz w:val="22"/>
        </w:rPr>
        <w:t>OCTION LABS INC.</w:t>
      </w:r>
    </w:p>
    <w:p>
      <w:pPr>
        <w:pStyle w:val="BodyText"/>
      </w:pPr>
      <w:r>
        <w:rPr>
          <w:rFonts w:ascii="Times New Roman" w:hAnsi="Times New Roman"/>
          <w:sz w:val="22"/>
        </w:rPr>
        <w:t>Name: ________________________________</w:t>
      </w:r>
    </w:p>
    <w:p>
      <w:pPr>
        <w:pStyle w:val="BodyText"/>
      </w:pPr>
      <w:r>
        <w:rPr>
          <w:rFonts w:ascii="Times New Roman" w:hAnsi="Times New Roman"/>
          <w:sz w:val="22"/>
        </w:rPr>
        <w:t>Title: ________________________________</w:t>
      </w:r>
    </w:p>
    <w:p>
      <w:pPr>
        <w:pStyle w:val="BodyText"/>
      </w:pPr>
      <w:r>
        <w:rPr>
          <w:rFonts w:ascii="Times New Roman" w:hAnsi="Times New Roman"/>
          <w:sz w:val="22"/>
        </w:rPr>
        <w:t>Date: ________________________________</w:t>
      </w:r>
    </w:p>
    <w:p>
      <w:pPr>
        <w:pStyle w:val="BodyText"/>
      </w:pPr>
      <w:r>
        <w:rPr>
          <w:rFonts w:ascii="Times New Roman" w:hAnsi="Times New Roman"/>
          <w:b/>
          <w:bCs/>
          <w:sz w:val="22"/>
        </w:rPr>
        <w:t>JACKIE</w:t>
      </w:r>
    </w:p>
    <w:p>
      <w:pPr>
        <w:pStyle w:val="BodyText"/>
      </w:pPr>
      <w:r>
        <w:rPr>
          <w:rFonts w:ascii="Times New Roman" w:hAnsi="Times New Roman"/>
          <w:sz w:val="22"/>
        </w:rPr>
        <w:t>Signature: ________________________________</w:t>
      </w:r>
    </w:p>
    <w:p>
      <w:pPr>
        <w:pStyle w:val="BodyText"/>
      </w:pPr>
      <w:r>
        <w:rPr>
          <w:rFonts w:ascii="Times New Roman" w:hAnsi="Times New Roman"/>
          <w:sz w:val="22"/>
        </w:rPr>
        <w:t>Date: ________________________________</w:t>
      </w:r>
    </w:p>
    <w:p>
      <w:r>
        <w:rPr>
          <w:rFonts w:ascii="Times New Roman" w:hAnsi="Times New Roman"/>
          <w:sz w:val="22"/>
        </w:rPr>
      </w:r>
    </w:p>
    <w:bookmarkEnd w:id="28"/>
    <w:bookmarkStart w:id="29" w:name="schedule-a---milestones"/>
    <w:p>
      <w:pPr>
        <w:pStyle w:val="Heading2"/>
      </w:pPr>
      <w:r>
        <w:t>SCHEDULE A - MILESTONES</w:t>
      </w:r>
    </w:p>
    <w:tbl>
      <w:tblPr>
        <w:tblStyle w:val="Table"/>
        <w:tblW w:type="pct" w:w="5000"/>
        <w:tblLayout w:type="fixed"/>
        <w:tblLook w:firstRow="1" w:lastRow="0" w:firstColumn="0" w:lastColumn="0" w:noHBand="0" w:noVBand="0" w:val="0020"/>
      </w:tblPr>
      <w:tblGrid>
        <w:gridCol w:w="792"/>
        <w:gridCol w:w="648"/>
        <w:gridCol w:w="6480"/>
      </w:tblGrid>
      <w:tr>
        <w:trPr>
          <w:tblHeader w:val="on"/>
        </w:trPr>
        <w:tc>
          <w:tcPr/>
          <w:p>
            <w:pPr>
              <w:pStyle w:val="Compact"/>
            </w:pPr>
            <w:r>
              <w:t>Milestone</w:t>
            </w:r>
          </w:p>
        </w:tc>
        <w:tc>
          <w:tcPr/>
          <w:p>
            <w:pPr>
              <w:pStyle w:val="Compact"/>
            </w:pPr>
            <w:r>
              <w:t>Vesting</w:t>
            </w:r>
          </w:p>
        </w:tc>
        <w:tc>
          <w:tcPr/>
          <w:p>
            <w:pPr>
              <w:pStyle w:val="Compact"/>
            </w:pPr>
            <w:r>
              <w:t>Description</w:t>
            </w:r>
          </w:p>
        </w:tc>
      </w:tr>
      <w:tr>
        <w:tc>
          <w:tcPr/>
          <w:p>
            <w:pPr>
              <w:pStyle w:val="Compact"/>
            </w:pPr>
            <w:r>
              <w:t>Milestone 1</w:t>
            </w:r>
          </w:p>
        </w:tc>
        <w:tc>
          <w:tcPr/>
          <w:p>
            <w:pPr>
              <w:pStyle w:val="Compact"/>
            </w:pPr>
            <w:r>
              <w:t>0.1875%</w:t>
            </w:r>
          </w:p>
        </w:tc>
        <w:tc>
          <w:tcPr/>
          <w:p>
            <w:pPr>
              <w:pStyle w:val="Compact"/>
            </w:pPr>
            <w:r>
              <w:t>Delivery of a foundational legal, IP, and compliance framework for client deployments</w:t>
            </w:r>
          </w:p>
        </w:tc>
      </w:tr>
      <w:tr>
        <w:tc>
          <w:tcPr/>
          <w:p>
            <w:pPr>
              <w:pStyle w:val="Compact"/>
            </w:pPr>
            <w:r>
              <w:t>Milestone 2</w:t>
            </w:r>
          </w:p>
        </w:tc>
        <w:tc>
          <w:tcPr/>
          <w:p>
            <w:pPr>
              <w:pStyle w:val="Compact"/>
            </w:pPr>
            <w:r>
              <w:t>0.1875%</w:t>
            </w:r>
          </w:p>
        </w:tc>
        <w:tc>
          <w:tcPr/>
          <w:p>
            <w:pPr>
              <w:pStyle w:val="Compact"/>
            </w:pPr>
            <w:r>
              <w:t>Completion of the Company's first client-facing compliance review or data protection assessment</w:t>
            </w:r>
          </w:p>
        </w:tc>
      </w:tr>
      <w:tr>
        <w:tc>
          <w:tcPr/>
          <w:p>
            <w:pPr>
              <w:pStyle w:val="Compact"/>
            </w:pPr>
            <w:r>
              <w:t>Milestone 3</w:t>
            </w:r>
          </w:p>
        </w:tc>
        <w:tc>
          <w:tcPr/>
          <w:p>
            <w:pPr>
              <w:pStyle w:val="Compact"/>
            </w:pPr>
            <w:r>
              <w:t>0.1875%</w:t>
            </w:r>
          </w:p>
        </w:tc>
        <w:tc>
          <w:tcPr/>
          <w:p>
            <w:pPr>
              <w:pStyle w:val="Compact"/>
            </w:pPr>
            <w:r>
              <w:t>Execution of a client contract with an initial contract value of at least CAD $100,000 attributable to the Advisor</w:t>
            </w:r>
          </w:p>
        </w:tc>
      </w:tr>
      <w:tr>
        <w:tc>
          <w:tcPr/>
          <w:p>
            <w:pPr>
              <w:pStyle w:val="Compact"/>
            </w:pPr>
            <w:r>
              <w:t>Milestone 4</w:t>
            </w:r>
          </w:p>
        </w:tc>
        <w:tc>
          <w:tcPr/>
          <w:p>
            <w:pPr>
              <w:pStyle w:val="Compact"/>
            </w:pPr>
            <w:r>
              <w:t>0.1875%</w:t>
            </w:r>
          </w:p>
        </w:tc>
        <w:tc>
          <w:tcPr/>
          <w:p>
            <w:pPr>
              <w:pStyle w:val="Compact"/>
            </w:pPr>
            <w:r>
              <w:t>Successful close of a strategic partnership in which the Advisor provided a direct introduction</w:t>
            </w:r>
          </w:p>
        </w:tc>
      </w:tr>
    </w:tbl>
    <w:bookmarkEnd w:id="29"/>
    <w:bookmarkEnd w:id="30"/>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731">
    <w:nsid w:val="00A99731"/>
    <w:multiLevelType w:val="multilevel"/>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99733">
    <w:nsid w:val="00A99733"/>
    <w:multiLevelType w:val="multilevel"/>
    <w:lvl w:ilvl="0">
      <w:start w:val="3"/>
      <w:numFmt w:val="lowerLetter"/>
      <w:lvlText w:val="(%1)"/>
      <w:lvlJc w:val="left"/>
      <w:pPr>
        <w:ind w:left="720" w:hanging="360"/>
      </w:pPr>
    </w:lvl>
    <w:lvl w:ilvl="1">
      <w:start w:val="3"/>
      <w:numFmt w:val="lowerLetter"/>
      <w:lvlText w:val="(%2)"/>
      <w:lvlJc w:val="left"/>
      <w:pPr>
        <w:ind w:left="1440" w:hanging="360"/>
      </w:pPr>
    </w:lvl>
    <w:lvl w:ilvl="2">
      <w:start w:val="3"/>
      <w:numFmt w:val="lowerLetter"/>
      <w:lvlText w:val="(%3)"/>
      <w:lvlJc w:val="left"/>
      <w:pPr>
        <w:ind w:left="2160" w:hanging="360"/>
      </w:pPr>
    </w:lvl>
    <w:lvl w:ilvl="3">
      <w:start w:val="3"/>
      <w:numFmt w:val="lowerLetter"/>
      <w:lvlText w:val="(%4)"/>
      <w:lvlJc w:val="left"/>
      <w:pPr>
        <w:ind w:left="2880" w:hanging="360"/>
      </w:pPr>
    </w:lvl>
    <w:lvl w:ilvl="4">
      <w:start w:val="3"/>
      <w:numFmt w:val="lowerLetter"/>
      <w:lvlText w:val="(%5)"/>
      <w:lvlJc w:val="left"/>
      <w:pPr>
        <w:ind w:left="3600" w:hanging="360"/>
      </w:pPr>
    </w:lvl>
    <w:lvl w:ilvl="5">
      <w:start w:val="3"/>
      <w:numFmt w:val="lowerLetter"/>
      <w:lvlText w:val="(%6)"/>
      <w:lvlJc w:val="left"/>
      <w:pPr>
        <w:ind w:left="4320" w:hanging="360"/>
      </w:pPr>
    </w:lvl>
    <w:lvl w:ilvl="6">
      <w:start w:val="3"/>
      <w:numFmt w:val="lowerLetter"/>
      <w:lvlText w:val="(%7)"/>
      <w:lvlJc w:val="left"/>
      <w:pPr>
        <w:ind w:left="5040" w:hanging="360"/>
      </w:pPr>
    </w:lvl>
    <w:lvl w:ilvl="7">
      <w:start w:val="3"/>
      <w:numFmt w:val="lowerLetter"/>
      <w:lvlText w:val="(%8)"/>
      <w:lvlJc w:val="left"/>
      <w:pPr>
        <w:ind w:left="5760" w:hanging="360"/>
      </w:pPr>
    </w:lvl>
    <w:lvl w:ilvl="8">
      <w:start w:val="3"/>
      <w:numFmt w:val="lowerLetter"/>
      <w:lvlText w:val="(%9)"/>
      <w:lvlJc w:val="left"/>
      <w:pPr>
        <w:ind w:left="6480" w:hanging="360"/>
      </w:pPr>
    </w:lvl>
  </w:abstractNum>
  <w:num w:numId="1000">
    <w:abstractNumId w:val="990"/>
  </w:num>
  <w:num w:numId="1001">
    <w:abstractNumId w:val="991"/>
  </w:num>
  <w:num w:numId="1002">
    <w:abstractNumId w:val="997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7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7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abstractNumId w:val="991"/>
  </w:num>
  <w:num w:numId="1006">
    <w:abstractNumId w:val="99733"/>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lvlOverride w:ilvl="7">
      <w:startOverride w:val="3"/>
    </w:lvlOverride>
    <w:lvlOverride w:ilvl="8">
      <w:startOverride w:val="3"/>
    </w:lvlOverride>
  </w:num>
  <w:num w:numId="1007">
    <w:abstractNumId w:val="997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8">
    <w:abstractNumId w:val="997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9">
    <w:abstractNumId w:val="997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0">
    <w:abstractNumId w:val="997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1">
    <w:abstractNumId w:val="997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2">
    <w:abstractNumId w:val="997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3">
    <w:abstractNumId w:val="997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4">
    <w:abstractNumId w:val="997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5">
    <w:abstractNumId w:val="997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pPr>
      <w:spacing w:line="276" w:lineRule="auto"/>
    </w:pPr>
    <w:rPr>
      <w:rFonts w:ascii="Times New Roman" w:hAnsi="Times New Roman"/>
      <w:b w:val="0"/>
      <w:color w:val="000000"/>
      <w:sz w:val="22"/>
    </w:rPr>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200" w:before="360" w:line="276" w:lineRule="auto"/>
      <w:jc w:val="center"/>
      <w:outlineLvl w:val="0"/>
    </w:pPr>
    <w:rPr>
      <w:rFonts w:asciiTheme="majorHAnsi" w:cstheme="majorBidi" w:eastAsiaTheme="majorEastAsia" w:hAnsiTheme="majorHAnsi" w:ascii="Times New Roman" w:hAnsi="Times New Roman"/>
      <w:b/>
      <w:color w:val="000000"/>
      <w:sz w:val="32"/>
      <w:szCs w:val="40"/>
    </w:rPr>
  </w:style>
  <w:style w:styleId="Heading2" w:type="paragraph">
    <w:name w:val="heading 2"/>
    <w:basedOn w:val="Normal"/>
    <w:next w:val="BodyText"/>
    <w:link w:val="Heading2Char"/>
    <w:uiPriority w:val="9"/>
    <w:semiHidden/>
    <w:unhideWhenUsed/>
    <w:qFormat/>
    <w:rsid w:val="00A10FD9"/>
    <w:pPr>
      <w:keepNext/>
      <w:keepLines/>
      <w:spacing w:after="200" w:before="360" w:line="276" w:lineRule="auto"/>
      <w:outlineLvl w:val="1"/>
    </w:pPr>
    <w:rPr>
      <w:rFonts w:asciiTheme="majorHAnsi" w:cstheme="majorBidi" w:eastAsiaTheme="majorEastAsia" w:hAnsiTheme="majorHAnsi" w:ascii="Times New Roman" w:hAnsi="Times New Roman"/>
      <w:b/>
      <w:color w:val="000000"/>
      <w:sz w:val="26"/>
      <w:szCs w:val="32"/>
    </w:rPr>
  </w:style>
  <w:style w:styleId="Heading3" w:type="paragraph">
    <w:name w:val="heading 3"/>
    <w:basedOn w:val="Normal"/>
    <w:next w:val="BodyText"/>
    <w:link w:val="Heading3Char"/>
    <w:uiPriority w:val="9"/>
    <w:semiHidden/>
    <w:unhideWhenUsed/>
    <w:qFormat/>
    <w:rsid w:val="00A10FD9"/>
    <w:pPr>
      <w:keepNext/>
      <w:keepLines/>
      <w:spacing w:after="80" w:before="160" w:line="276" w:lineRule="auto"/>
      <w:outlineLvl w:val="2"/>
    </w:pPr>
    <w:rPr>
      <w:rFonts w:cstheme="majorBidi" w:eastAsiaTheme="majorEastAsia" w:ascii="Times New Roman" w:hAnsi="Times New Roman"/>
      <w:b/>
      <w:color w:val="000000"/>
      <w:sz w:val="22"/>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 w:type="paragraph" w:customStyle="1" w:styleId="ListParagraph">
    <w:name w:val="List Paragraph"/>
    <w:pPr>
      <w:spacing w:line="276" w:lineRule="auto"/>
    </w:pPr>
    <w:rPr>
      <w:rFonts w:ascii="Times New Roman" w:hAnsi="Times New Roman"/>
      <w:b w:val="0"/>
      <w:color w:val="000000"/>
      <w:sz w:val="22"/>
    </w:rPr>
  </w:style>
</w:styles>
</file>

<file path=word/webSettings.xml><?xml version="1.0" encoding="utf-8"?>
<ns0:webSettings xmlns:ns0="http://schemas.openxmlformats.org/wordprocessingml/2006/main">
  <ns0:allowPNG/>
  <ns0:doNotSaveAsSingleFile/>
</ns0: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7" Type="http://schemas.openxmlformats.org/officeDocument/2006/relationships/styles" Target="styles.xml"/><Relationship Id="rId6" Type="http://schemas.openxmlformats.org/officeDocument/2006/relationships/settings" Target="settings.xml"/><Relationship Id="rId5" Type="http://schemas.openxmlformats.org/officeDocument/2006/relationships/webSettings" Target="webSettings.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footnotes" Target="footnotes.xml"/><Relationship Id="rId1"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2026-08-25T08:14:33Z</dcterms:created>
  <dcterms:modified xsi:type="dcterms:W3CDTF">2026-08-25T08:14:33Z</dcterms:modified>
</cp:coreProperties>
</file>

<file path=docProps/custom.xml><?xml version="1.0" encoding="utf-8"?>
<Properties xmlns="http://schemas.openxmlformats.org/officeDocument/2006/custom-properties" xmlns:vt="http://schemas.openxmlformats.org/officeDocument/2006/docPropsVTypes"/>
</file>