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1" w:name="oction-labs-inc.---advisor-term-sheet"/>
    <w:p>
      <w:pPr>
        <w:pStyle w:val="Heading1"/>
      </w:pPr>
      <w:r>
        <w:t>OCTION LABS INC. - ADVISOR TERM SHEET</w:t>
      </w:r>
    </w:p>
    <w:bookmarkStart w:id="20" w:name="X71d117996f5cad5bcd48af1bb852c264df36530"/>
    <w:p>
      <w:pPr>
        <w:pStyle w:val="Heading2"/>
      </w:pPr>
      <w:r>
        <w:t>Barinder Bhullar - Anchor Advisor (Healthcare, Government, Culture, and Strategic Advisory Growth)</w:t>
      </w:r>
    </w:p>
    <w:p>
      <w:pPr>
        <w:pStyle w:val="FirstParagraph"/>
      </w:pPr>
      <w:r>
        <w:rPr>
          <w:rFonts w:ascii="Times New Roman" w:hAnsi="Times New Roman"/>
          <w:b/>
          <w:bCs/>
          <w:sz w:val="22"/>
        </w:rPr>
        <w:t>Date:</w:t>
      </w:r>
      <w:r>
        <w:rPr>
          <w:rFonts w:ascii="Times New Roman" w:hAnsi="Times New Roman"/>
          <w:sz w:val="22"/>
        </w:rPr>
        <w:t xml:space="preserve"> </w:t>
      </w:r>
      <w:r>
        <w:rPr>
          <w:rFonts w:ascii="Times New Roman" w:hAnsi="Times New Roman"/>
          <w:sz w:val="22"/>
        </w:rPr>
        <w:t>________________</w:t>
      </w:r>
    </w:p>
    <w:p>
      <w:pPr>
        <w:pStyle w:val="BodyText"/>
      </w:pPr>
      <w:r>
        <w:rPr>
          <w:rFonts w:ascii="Times New Roman" w:hAnsi="Times New Roman"/>
          <w:b/>
          <w:bCs/>
          <w:sz w:val="22"/>
        </w:rPr>
        <w:t>Company:</w:t>
      </w:r>
      <w:r>
        <w:rPr>
          <w:rFonts w:ascii="Times New Roman" w:hAnsi="Times New Roman"/>
          <w:sz w:val="22"/>
        </w:rPr>
        <w:t xml:space="preserve"> </w:t>
      </w:r>
      <w:r>
        <w:rPr>
          <w:rFonts w:ascii="Times New Roman" w:hAnsi="Times New Roman"/>
          <w:sz w:val="22"/>
        </w:rPr>
        <w:t>Oction Labs Inc.</w:t>
      </w:r>
    </w:p>
    <w:p>
      <w:pPr>
        <w:pStyle w:val="BodyText"/>
      </w:pPr>
      <w:r>
        <w:rPr>
          <w:rFonts w:ascii="Times New Roman" w:hAnsi="Times New Roman"/>
          <w:b/>
          <w:bCs/>
          <w:sz w:val="22"/>
        </w:rPr>
        <w:t>Advisor:</w:t>
      </w:r>
      <w:r>
        <w:rPr>
          <w:rFonts w:ascii="Times New Roman" w:hAnsi="Times New Roman"/>
          <w:sz w:val="22"/>
        </w:rPr>
        <w:t xml:space="preserve"> </w:t>
      </w:r>
      <w:r>
        <w:rPr>
          <w:rFonts w:ascii="Times New Roman" w:hAnsi="Times New Roman"/>
          <w:sz w:val="22"/>
        </w:rPr>
        <w:t>Barinder Bhullar</w:t>
      </w:r>
    </w:p>
    <w:p>
      <w:pPr>
        <w:pStyle w:val="BodyText"/>
      </w:pPr>
      <w:r>
        <w:rPr>
          <w:rFonts w:ascii="Times New Roman" w:hAnsi="Times New Roman"/>
          <w:b/>
          <w:bCs/>
          <w:sz w:val="22"/>
        </w:rPr>
        <w:t>Advisor Role:</w:t>
      </w:r>
      <w:r>
        <w:rPr>
          <w:rFonts w:ascii="Times New Roman" w:hAnsi="Times New Roman"/>
          <w:sz w:val="22"/>
        </w:rPr>
        <w:t xml:space="preserve"> </w:t>
      </w:r>
      <w:r>
        <w:rPr>
          <w:rFonts w:ascii="Times New Roman" w:hAnsi="Times New Roman"/>
          <w:sz w:val="22"/>
        </w:rPr>
        <w:t>Anchor Advisor</w:t>
      </w:r>
    </w:p>
    <w:p>
      <w:r>
        <w:rPr>
          <w:rFonts w:ascii="Times New Roman" w:hAnsi="Times New Roman"/>
          <w:sz w:val="22"/>
        </w:rPr>
      </w:r>
    </w:p>
    <w:bookmarkStart w:id="9" w:name="equity-grant"/>
    <w:p>
      <w:pPr>
        <w:pStyle w:val="Heading3"/>
      </w:pPr>
      <w:r>
        <w:t>1. EQUITY GRANT</w:t>
      </w:r>
    </w:p>
    <w:p>
      <w:pPr>
        <w:pStyle w:val="FirstParagraph"/>
      </w:pPr>
      <w:r>
        <w:rPr>
          <w:rFonts w:ascii="Times New Roman" w:hAnsi="Times New Roman"/>
          <w:sz w:val="22"/>
        </w:rPr>
        <w:t>Oction Labs Inc. will grant Barinder Bhullar common shares equal to</w:t>
      </w:r>
      <w:r>
        <w:rPr>
          <w:rFonts w:ascii="Times New Roman" w:hAnsi="Times New Roman"/>
          <w:sz w:val="22"/>
        </w:rPr>
        <w:t xml:space="preserve"> </w:t>
      </w:r>
      <w:r>
        <w:rPr>
          <w:rFonts w:ascii="Times New Roman" w:hAnsi="Times New Roman"/>
          <w:b/>
          <w:bCs/>
          <w:sz w:val="22"/>
        </w:rPr>
        <w:t>3%</w:t>
      </w:r>
      <w:r>
        <w:rPr>
          <w:rFonts w:ascii="Times New Roman" w:hAnsi="Times New Roman"/>
          <w:sz w:val="22"/>
        </w:rPr>
        <w:t xml:space="preserve"> </w:t>
      </w:r>
      <w:r>
        <w:rPr>
          <w:rFonts w:ascii="Times New Roman" w:hAnsi="Times New Roman"/>
          <w:sz w:val="22"/>
        </w:rPr>
        <w:t>of the Company's issued and outstanding equity on a fully diluted basis, as of the effective date.</w:t>
      </w:r>
    </w:p>
    <w:bookmarkEnd w:id="9"/>
    <w:bookmarkStart w:id="10" w:name="vesting-schedule"/>
    <w:p>
      <w:pPr>
        <w:pStyle w:val="Heading3"/>
      </w:pPr>
      <w:r>
        <w:t>2. VESTING SCHEDULE</w:t>
      </w:r>
    </w:p>
    <w:p>
      <w:pPr>
        <w:pStyle w:val="FirstParagraph"/>
      </w:pPr>
      <w:r>
        <w:rPr>
          <w:rFonts w:ascii="Times New Roman" w:hAnsi="Times New Roman"/>
          <w:sz w:val="22"/>
        </w:rPr>
        <w:t>The grant will vest over</w:t>
      </w:r>
      <w:r>
        <w:rPr>
          <w:rFonts w:ascii="Times New Roman" w:hAnsi="Times New Roman"/>
          <w:sz w:val="22"/>
        </w:rPr>
        <w:t xml:space="preserve"> </w:t>
      </w:r>
      <w:r>
        <w:rPr>
          <w:rFonts w:ascii="Times New Roman" w:hAnsi="Times New Roman"/>
          <w:b/>
          <w:bCs/>
          <w:sz w:val="22"/>
        </w:rPr>
        <w:t>24 months</w:t>
      </w:r>
      <w:r>
        <w:rPr>
          <w:rFonts w:ascii="Times New Roman" w:hAnsi="Times New Roman"/>
          <w:sz w:val="22"/>
        </w:rPr>
        <w:t xml:space="preserve"> </w:t>
      </w:r>
      <w:r>
        <w:rPr>
          <w:rFonts w:ascii="Times New Roman" w:hAnsi="Times New Roman"/>
          <w:sz w:val="22"/>
        </w:rPr>
        <w:t>from the effective date.</w:t>
      </w:r>
    </w:p>
    <w:tbl>
      <w:tblPr>
        <w:tblStyle w:val="Table"/>
        <w:tblW w:type="pct" w:w="5000"/>
        <w:tblLayout w:type="fixed"/>
        <w:tblLook w:firstRow="1" w:lastRow="0" w:firstColumn="0" w:lastColumn="0" w:noHBand="0" w:noVBand="0" w:val="0020"/>
      </w:tblPr>
      <w:tblGrid>
        <w:gridCol w:w="916"/>
        <w:gridCol w:w="1309"/>
        <w:gridCol w:w="5694"/>
      </w:tblGrid>
      <w:tr>
        <w:trPr>
          <w:tblHeader w:val="on"/>
        </w:trPr>
        <w:tc>
          <w:tcPr/>
          <w:p>
            <w:pPr>
              <w:pStyle w:val="Compact"/>
            </w:pPr>
            <w:r>
              <w:t>Tranche</w:t>
            </w:r>
          </w:p>
        </w:tc>
        <w:tc>
          <w:tcPr/>
          <w:p>
            <w:pPr>
              <w:pStyle w:val="Compact"/>
            </w:pPr>
            <w:r>
              <w:t>Percentage</w:t>
            </w:r>
          </w:p>
        </w:tc>
        <w:tc>
          <w:tcPr/>
          <w:p>
            <w:pPr>
              <w:pStyle w:val="Compact"/>
            </w:pPr>
            <w:r>
              <w:t>Vesting Condition</w:t>
            </w:r>
          </w:p>
        </w:tc>
      </w:tr>
      <w:tr>
        <w:tc>
          <w:tcPr/>
          <w:p>
            <w:pPr>
              <w:pStyle w:val="Compact"/>
            </w:pPr>
            <w:r>
              <w:t>Time-based</w:t>
            </w:r>
          </w:p>
        </w:tc>
        <w:tc>
          <w:tcPr/>
          <w:p>
            <w:pPr>
              <w:pStyle w:val="Compact"/>
            </w:pPr>
            <w:r>
              <w:t>0.75% (25% of total)</w:t>
            </w:r>
          </w:p>
        </w:tc>
        <w:tc>
          <w:tcPr/>
          <w:p>
            <w:pPr>
              <w:pStyle w:val="Compact"/>
            </w:pPr>
            <w:r>
              <w:t>Monthly over 24 months (1/24 per month)</w:t>
            </w:r>
          </w:p>
        </w:tc>
      </w:tr>
      <w:tr>
        <w:tc>
          <w:tcPr/>
          <w:p>
            <w:pPr>
              <w:pStyle w:val="Compact"/>
            </w:pPr>
            <w:r>
              <w:t>Milestone 1</w:t>
            </w:r>
          </w:p>
        </w:tc>
        <w:tc>
          <w:tcPr/>
          <w:p>
            <w:pPr>
              <w:pStyle w:val="Compact"/>
            </w:pPr>
            <w:r>
              <w:t>0.5625%</w:t>
            </w:r>
          </w:p>
        </w:tc>
        <w:tc>
          <w:tcPr/>
          <w:p>
            <w:pPr>
              <w:pStyle w:val="Compact"/>
            </w:pPr>
            <w:r>
              <w:t>Signed engagement with first healthcare or government client introduced by Advisor</w:t>
            </w:r>
          </w:p>
        </w:tc>
      </w:tr>
      <w:tr>
        <w:tc>
          <w:tcPr/>
          <w:p>
            <w:pPr>
              <w:pStyle w:val="Compact"/>
            </w:pPr>
            <w:r>
              <w:t>Milestone 2</w:t>
            </w:r>
          </w:p>
        </w:tc>
        <w:tc>
          <w:tcPr/>
          <w:p>
            <w:pPr>
              <w:pStyle w:val="Compact"/>
            </w:pPr>
            <w:r>
              <w:t>0.5625%</w:t>
            </w:r>
          </w:p>
        </w:tc>
        <w:tc>
          <w:tcPr/>
          <w:p>
            <w:pPr>
              <w:pStyle w:val="Compact"/>
            </w:pPr>
            <w:r>
              <w:t>Advisor introduces one or more strategic advisors who execute an Advisor Agreement</w:t>
            </w:r>
          </w:p>
        </w:tc>
      </w:tr>
      <w:tr>
        <w:tc>
          <w:tcPr/>
          <w:p>
            <w:pPr>
              <w:pStyle w:val="Compact"/>
            </w:pPr>
            <w:r>
              <w:t>Milestone 3</w:t>
            </w:r>
          </w:p>
        </w:tc>
        <w:tc>
          <w:tcPr/>
          <w:p>
            <w:pPr>
              <w:pStyle w:val="Compact"/>
            </w:pPr>
            <w:r>
              <w:t>0.5625%</w:t>
            </w:r>
          </w:p>
        </w:tc>
        <w:tc>
          <w:tcPr/>
          <w:p>
            <w:pPr>
              <w:pStyle w:val="Compact"/>
            </w:pPr>
            <w:r>
              <w:t>First client contract with initial value of CAD $100,000 or more attributable to Advisor</w:t>
            </w:r>
          </w:p>
        </w:tc>
      </w:tr>
      <w:tr>
        <w:tc>
          <w:tcPr/>
          <w:p>
            <w:pPr>
              <w:pStyle w:val="Compact"/>
            </w:pPr>
            <w:r>
              <w:t>Milestone 4</w:t>
            </w:r>
          </w:p>
        </w:tc>
        <w:tc>
          <w:tcPr/>
          <w:p>
            <w:pPr>
              <w:pStyle w:val="Compact"/>
            </w:pPr>
            <w:r>
              <w:t>0.5625%</w:t>
            </w:r>
          </w:p>
        </w:tc>
        <w:tc>
          <w:tcPr/>
          <w:p>
            <w:pPr>
              <w:pStyle w:val="Compact"/>
            </w:pPr>
            <w:r>
              <w:t>Signed client engagement in a hard-to-access niche or sector introduced by Advisor</w:t>
            </w:r>
          </w:p>
        </w:tc>
      </w:tr>
    </w:tbl>
    <w:bookmarkEnd w:id="10"/>
    <w:bookmarkStart w:id="11" w:name="commission-on-client-contracts"/>
    <w:p>
      <w:pPr>
        <w:pStyle w:val="Heading3"/>
      </w:pPr>
      <w:r>
        <w:t>3. COMMISSION ON CLIENT CONTRACTS</w:t>
      </w:r>
    </w:p>
    <w:p>
      <w:pPr>
        <w:pStyle w:val="FirstParagraph"/>
      </w:pPr>
      <w:r>
        <w:rPr>
          <w:rFonts w:ascii="Times New Roman" w:hAnsi="Times New Roman"/>
          <w:sz w:val="22"/>
        </w:rPr>
        <w:t>For any client introduced by Advisor that enters into a contract with Oction Labs Inc. or Oction Consulting and Marketing Inc.:</w:t>
      </w:r>
    </w:p>
    <w:p>
      <w:pPr>
        <w:pStyle w:val="Compact"/>
        <w:numPr>
          <w:ilvl w:val="0"/>
          <w:numId w:val="1001"/>
        </w:numPr>
      </w:pPr>
      <w:r>
        <w:rPr>
          <w:rFonts w:ascii="Times New Roman" w:hAnsi="Times New Roman"/>
          <w:b/>
          <w:bCs/>
          <w:sz w:val="22"/>
        </w:rPr>
        <w:t>10%</w:t>
      </w:r>
      <w:r>
        <w:rPr>
          <w:rFonts w:ascii="Times New Roman" w:hAnsi="Times New Roman"/>
          <w:sz w:val="22"/>
        </w:rPr>
        <w:t xml:space="preserve"> </w:t>
      </w:r>
      <w:r>
        <w:rPr>
          <w:rFonts w:ascii="Times New Roman" w:hAnsi="Times New Roman"/>
          <w:sz w:val="22"/>
        </w:rPr>
        <w:t>of the net profit attributable to the client contract.</w:t>
      </w:r>
    </w:p>
    <w:p>
      <w:pPr>
        <w:pStyle w:val="Compact"/>
        <w:numPr>
          <w:ilvl w:val="0"/>
          <w:numId w:val="1001"/>
        </w:numPr>
      </w:pPr>
      <w:r>
        <w:rPr>
          <w:rFonts w:ascii="Times New Roman" w:hAnsi="Times New Roman"/>
          <w:sz w:val="22"/>
        </w:rPr>
        <w:t>Net profit means the gross fees received by the Company for the contract less the direct costs incurred to deliver the contract, as determined by the Company in good faith in accordance with its standard cost attribution methodology.</w:t>
      </w:r>
    </w:p>
    <w:p>
      <w:pPr>
        <w:pStyle w:val="Compact"/>
        <w:numPr>
          <w:ilvl w:val="0"/>
          <w:numId w:val="1001"/>
        </w:numPr>
      </w:pPr>
      <w:r>
        <w:rPr>
          <w:rFonts w:ascii="Times New Roman" w:hAnsi="Times New Roman"/>
          <w:sz w:val="22"/>
        </w:rPr>
        <w:t>Applies to both Labs AI deployments and Agency service engagements.</w:t>
      </w:r>
    </w:p>
    <w:p>
      <w:pPr>
        <w:pStyle w:val="Compact"/>
        <w:numPr>
          <w:ilvl w:val="0"/>
          <w:numId w:val="1001"/>
        </w:numPr>
      </w:pPr>
      <w:r>
        <w:rPr>
          <w:rFonts w:ascii="Times New Roman" w:hAnsi="Times New Roman"/>
          <w:b/>
          <w:bCs/>
          <w:sz w:val="22"/>
        </w:rPr>
        <w:t>Renewals:</w:t>
      </w:r>
      <w:r>
        <w:rPr>
          <w:rFonts w:ascii="Times New Roman" w:hAnsi="Times New Roman"/>
          <w:sz w:val="22"/>
        </w:rPr>
        <w:t xml:space="preserve"> </w:t>
      </w:r>
      <w:r>
        <w:rPr>
          <w:rFonts w:ascii="Times New Roman" w:hAnsi="Times New Roman"/>
          <w:sz w:val="22"/>
        </w:rPr>
        <w:t>Commission is also payable on renewals, extensions, and additional work signed with the same client, provided the original introduction was documented under Section 3 attribution requirements. Renewals and additional work may be with either Oction Labs Inc. or Oction Consulting and Marketing Inc. (or any affiliate), and commission is payable on all such continued net profit regardless of which entity bills the client.</w:t>
      </w:r>
    </w:p>
    <w:p>
      <w:pPr>
        <w:pStyle w:val="Compact"/>
        <w:numPr>
          <w:ilvl w:val="0"/>
          <w:numId w:val="1001"/>
        </w:numPr>
      </w:pPr>
      <w:r>
        <w:rPr>
          <w:rFonts w:ascii="Times New Roman" w:hAnsi="Times New Roman"/>
          <w:sz w:val="22"/>
        </w:rPr>
        <w:t>No annual cap.</w:t>
      </w:r>
    </w:p>
    <w:p>
      <w:pPr>
        <w:pStyle w:val="Compact"/>
        <w:numPr>
          <w:ilvl w:val="0"/>
          <w:numId w:val="1001"/>
        </w:numPr>
      </w:pPr>
      <w:r>
        <w:rPr>
          <w:rFonts w:ascii="Times New Roman" w:hAnsi="Times New Roman"/>
          <w:sz w:val="22"/>
        </w:rPr>
        <w:t>Paid net 15 days after the Company determines and records the net profit attributable to the relevant client payment period.</w:t>
      </w:r>
    </w:p>
    <w:p>
      <w:pPr>
        <w:pStyle w:val="FirstParagraph"/>
      </w:pPr>
      <w:r>
        <w:rPr>
          <w:rFonts w:ascii="Times New Roman" w:hAnsi="Times New Roman"/>
          <w:b/>
          <w:bCs/>
          <w:sz w:val="22"/>
        </w:rPr>
        <w:t>Attribution requirement:</w:t>
      </w:r>
      <w:r>
        <w:rPr>
          <w:rFonts w:ascii="Times New Roman" w:hAnsi="Times New Roman"/>
          <w:sz w:val="22"/>
        </w:rPr>
        <w:t xml:space="preserve"> </w:t>
      </w:r>
      <w:r>
        <w:rPr>
          <w:rFonts w:ascii="Times New Roman" w:hAnsi="Times New Roman"/>
          <w:sz w:val="22"/>
        </w:rPr>
        <w:t>The introduction must be documented by an email, LinkedIn message, or other written communication from Advisor to the decision-maker, copied to or reported to Oction.</w:t>
      </w:r>
    </w:p>
    <w:bookmarkEnd w:id="11"/>
    <w:bookmarkStart w:id="12" w:name="finder-fee-on-funds-raised-secondary"/>
    <w:p>
      <w:pPr>
        <w:pStyle w:val="Heading3"/>
      </w:pPr>
      <w:r>
        <w:t>4. FINDER FEE ON FUNDS RAISED (SECONDARY)</w:t>
      </w:r>
    </w:p>
    <w:p>
      <w:pPr>
        <w:pStyle w:val="FirstParagraph"/>
      </w:pPr>
      <w:r>
        <w:rPr>
          <w:rFonts w:ascii="Times New Roman" w:hAnsi="Times New Roman"/>
          <w:sz w:val="22"/>
        </w:rPr>
        <w:t>If the Advisor introduces investors, lenders, or grantors that result in capital being raised by the Company or any of its affiliates, the Advisor shall be entitled to a finders fee equal to</w:t>
      </w:r>
      <w:r>
        <w:rPr>
          <w:rFonts w:ascii="Times New Roman" w:hAnsi="Times New Roman"/>
          <w:sz w:val="22"/>
        </w:rPr>
        <w:t xml:space="preserve"> </w:t>
      </w:r>
      <w:r>
        <w:rPr>
          <w:rFonts w:ascii="Times New Roman" w:hAnsi="Times New Roman"/>
          <w:b/>
          <w:bCs/>
          <w:sz w:val="22"/>
        </w:rPr>
        <w:t>5%</w:t>
      </w:r>
      <w:r>
        <w:rPr>
          <w:rFonts w:ascii="Times New Roman" w:hAnsi="Times New Roman"/>
          <w:sz w:val="22"/>
        </w:rPr>
        <w:t xml:space="preserve"> </w:t>
      </w:r>
      <w:r>
        <w:rPr>
          <w:rFonts w:ascii="Times New Roman" w:hAnsi="Times New Roman"/>
          <w:sz w:val="22"/>
        </w:rPr>
        <w:t>of the gross capital raised per tranche, capped at 5% of the total capital raised. This fee is secondary to the commission on client contracts and is not the primary focus of the advisory relationship.</w:t>
      </w:r>
    </w:p>
    <w:bookmarkEnd w:id="12"/>
    <w:bookmarkStart w:id="13" w:name="role-and-expectations"/>
    <w:p>
      <w:pPr>
        <w:pStyle w:val="Heading3"/>
      </w:pPr>
      <w:r>
        <w:t>5. ROLE AND EXPECTATIONS</w:t>
      </w:r>
    </w:p>
    <w:p>
      <w:pPr>
        <w:pStyle w:val="FirstParagraph"/>
      </w:pPr>
      <w:r>
        <w:rPr>
          <w:rFonts w:ascii="Times New Roman" w:hAnsi="Times New Roman"/>
          <w:sz w:val="22"/>
        </w:rPr>
        <w:t>Advisor will support Oction Labs Inc. in:</w:t>
      </w:r>
    </w:p>
    <w:p>
      <w:pPr>
        <w:pStyle w:val="Compact"/>
        <w:numPr>
          <w:ilvl w:val="0"/>
          <w:numId w:val="1002"/>
        </w:numPr>
      </w:pPr>
      <w:r>
        <w:rPr>
          <w:rFonts w:ascii="Times New Roman" w:hAnsi="Times New Roman"/>
          <w:sz w:val="22"/>
        </w:rPr>
        <w:t>Strategic introductions to healthcare, government, and culturally aligned organizations.</w:t>
      </w:r>
    </w:p>
    <w:p>
      <w:pPr>
        <w:pStyle w:val="Compact"/>
        <w:numPr>
          <w:ilvl w:val="0"/>
          <w:numId w:val="1002"/>
        </w:numPr>
      </w:pPr>
      <w:r>
        <w:rPr>
          <w:rFonts w:ascii="Times New Roman" w:hAnsi="Times New Roman"/>
          <w:sz w:val="22"/>
        </w:rPr>
        <w:t>Identifying and facilitating introductions to additional strategic advisors and hard-to-access niche decision-makers.</w:t>
      </w:r>
    </w:p>
    <w:p>
      <w:pPr>
        <w:pStyle w:val="Compact"/>
        <w:numPr>
          <w:ilvl w:val="0"/>
          <w:numId w:val="1002"/>
        </w:numPr>
      </w:pPr>
      <w:r>
        <w:rPr>
          <w:rFonts w:ascii="Times New Roman" w:hAnsi="Times New Roman"/>
          <w:sz w:val="22"/>
        </w:rPr>
        <w:t>Helping the Company enter harder-to-reach sectors and verticals.</w:t>
      </w:r>
    </w:p>
    <w:p>
      <w:pPr>
        <w:pStyle w:val="Compact"/>
        <w:numPr>
          <w:ilvl w:val="0"/>
          <w:numId w:val="1002"/>
        </w:numPr>
      </w:pPr>
      <w:r>
        <w:rPr>
          <w:rFonts w:ascii="Times New Roman" w:hAnsi="Times New Roman"/>
          <w:sz w:val="22"/>
        </w:rPr>
        <w:t>Providing feedback on positioning, messaging, and go-to-market strategy for regulated sectors.</w:t>
      </w:r>
    </w:p>
    <w:p>
      <w:pPr>
        <w:pStyle w:val="Compact"/>
        <w:numPr>
          <w:ilvl w:val="0"/>
          <w:numId w:val="1002"/>
        </w:numPr>
      </w:pPr>
      <w:r>
        <w:rPr>
          <w:rFonts w:ascii="Times New Roman" w:hAnsi="Times New Roman"/>
          <w:sz w:val="22"/>
        </w:rPr>
        <w:t>Acting as a referenceable anchor advisor for sales conversations.</w:t>
      </w:r>
    </w:p>
    <w:p>
      <w:pPr>
        <w:pStyle w:val="FirstParagraph"/>
      </w:pPr>
      <w:r>
        <w:rPr>
          <w:rFonts w:ascii="Times New Roman" w:hAnsi="Times New Roman"/>
          <w:sz w:val="22"/>
        </w:rPr>
        <w:t>Advisor is not an employee, director, officer, or agent of the Company. Advisor has no authority to bind the Company, negotiate on its behalf, or incur obligations.</w:t>
      </w:r>
    </w:p>
    <w:bookmarkEnd w:id="13"/>
    <w:bookmarkStart w:id="14" w:name="time-commitment"/>
    <w:p>
      <w:pPr>
        <w:pStyle w:val="Heading3"/>
      </w:pPr>
      <w:r>
        <w:t>6. TIME COMMITMENT</w:t>
      </w:r>
    </w:p>
    <w:p>
      <w:pPr>
        <w:pStyle w:val="FirstParagraph"/>
      </w:pPr>
      <w:r>
        <w:rPr>
          <w:rFonts w:ascii="Times New Roman" w:hAnsi="Times New Roman"/>
          <w:sz w:val="22"/>
        </w:rPr>
        <w:t>Advisor will make reasonable efforts to provide ongoing strategic support, with a target of at least one substantive engagement per month (call, introduction, review, or meeting) and responsiveness to high-priority requests within 3 business days.</w:t>
      </w:r>
    </w:p>
    <w:bookmarkEnd w:id="14"/>
    <w:bookmarkStart w:id="15" w:name="X6d3307a7ddfa67e1099f7e91d019266e60a152a"/>
    <w:p>
      <w:pPr>
        <w:pStyle w:val="Heading3"/>
      </w:pPr>
      <w:r>
        <w:t>7. CONFIDENTIALITY AND INTELLECTUAL PROPERTY</w:t>
      </w:r>
    </w:p>
    <w:p>
      <w:pPr>
        <w:pStyle w:val="FirstParagraph"/>
      </w:pPr>
      <w:r>
        <w:rPr>
          <w:rFonts w:ascii="Times New Roman" w:hAnsi="Times New Roman"/>
          <w:sz w:val="22"/>
        </w:rPr>
        <w:t>Advisor agrees to keep all Company information, client data, and business plans confidential for five years after termination. Any work product created for Oction Labs Inc. is owned exclusively by the Company.</w:t>
      </w:r>
    </w:p>
    <w:bookmarkEnd w:id="15"/>
    <w:bookmarkStart w:id="16" w:name="termination"/>
    <w:p>
      <w:pPr>
        <w:pStyle w:val="Heading3"/>
      </w:pPr>
      <w:r>
        <w:t>8. TERMINATION</w:t>
      </w:r>
    </w:p>
    <w:p>
      <w:pPr>
        <w:pStyle w:val="FirstParagraph"/>
      </w:pPr>
      <w:r>
        <w:rPr>
          <w:rFonts w:ascii="Times New Roman" w:hAnsi="Times New Roman"/>
          <w:sz w:val="22"/>
        </w:rPr>
        <w:t>Either party may terminate the advisory relationship with 30 days' written notice. Upon termination, all unvested equity is forfeited. Vested equity and earned commissions or fees remain payable subject to clawback provisions in the definitive agreement.</w:t>
      </w:r>
    </w:p>
    <w:bookmarkEnd w:id="16"/>
    <w:bookmarkStart w:id="17" w:name="company-buyback-right"/>
    <w:p>
      <w:pPr>
        <w:pStyle w:val="Heading3"/>
      </w:pPr>
      <w:r>
        <w:t>9. COMPANY BUYBACK RIGHT</w:t>
      </w:r>
    </w:p>
    <w:p>
      <w:pPr>
        <w:pStyle w:val="FirstParagraph"/>
      </w:pPr>
      <w:r>
        <w:rPr>
          <w:rFonts w:ascii="Times New Roman" w:hAnsi="Times New Roman"/>
          <w:sz w:val="22"/>
        </w:rPr>
        <w:t>The Company shall have the first right to purchase any vested Shares proposed to be sold or transferred by the Advisor ("Right of First Refusal"). If the Advisor receives a bona fide third-party offer to purchase vested Shares, the Advisor shall deliver written notice to the Company describing the offer in reasonable detail. The Company may elect to purchase the Shares on the same terms and conditions as the third-party offer, or, if no third-party offer exists, at fair market value as determined in good faith by the Company's board of directors. The terms of such buyback shall be set out in the definitive Shareholders Agreement or other equity documentation.</w:t>
      </w:r>
    </w:p>
    <w:bookmarkEnd w:id="17"/>
    <w:bookmarkStart w:id="18" w:name="definitive-documentation"/>
    <w:p>
      <w:pPr>
        <w:pStyle w:val="Heading3"/>
      </w:pPr>
      <w:r>
        <w:t>10. DEFINITIVE DOCUMENTATION</w:t>
      </w:r>
    </w:p>
    <w:p>
      <w:pPr>
        <w:pStyle w:val="FirstParagraph"/>
      </w:pPr>
      <w:r>
        <w:rPr>
          <w:rFonts w:ascii="Times New Roman" w:hAnsi="Times New Roman"/>
          <w:sz w:val="22"/>
        </w:rPr>
        <w:t>This term sheet is non-binding and for discussion purposes only, except for Sections 7, 8 and 9 which are intended to be binding. The parties will negotiate and execute a definitive Advisor Agreement.</w:t>
      </w:r>
    </w:p>
    <w:bookmarkEnd w:id="18"/>
    <w:bookmarkStart w:id="19" w:name="governing-law"/>
    <w:p>
      <w:pPr>
        <w:pStyle w:val="Heading3"/>
      </w:pPr>
      <w:r>
        <w:t>11. GOVERNING LAW</w:t>
      </w:r>
    </w:p>
    <w:p>
      <w:pPr>
        <w:pStyle w:val="FirstParagraph"/>
      </w:pPr>
      <w:r>
        <w:rPr>
          <w:rFonts w:ascii="Times New Roman" w:hAnsi="Times New Roman"/>
          <w:sz w:val="22"/>
        </w:rPr>
        <w:t>This term sheet and the definitive agreement will be governed by the laws of the Province of Alberta and the federal laws of Canada applicable therein.</w:t>
      </w:r>
    </w:p>
    <w:bookmarkEnd w:id="19"/>
    <w:bookmarkEnd w:id="20"/>
    <w:bookmarkEnd w:id="2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line="276" w:lineRule="auto"/>
    </w:pPr>
    <w:rPr>
      <w:rFonts w:ascii="Times New Roman" w:hAnsi="Times New Roman"/>
      <w:b w:val="0"/>
      <w:color w:val="000000"/>
      <w:sz w:val="22"/>
    </w:rPr>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200" w:before="360" w:line="276" w:lineRule="auto"/>
      <w:jc w:val="center"/>
      <w:outlineLvl w:val="0"/>
    </w:pPr>
    <w:rPr>
      <w:rFonts w:asciiTheme="majorHAnsi" w:cstheme="majorBidi" w:eastAsiaTheme="majorEastAsia" w:hAnsiTheme="majorHAnsi" w:ascii="Times New Roman" w:hAnsi="Times New Roman"/>
      <w:b/>
      <w:color w:val="000000"/>
      <w:sz w:val="32"/>
      <w:szCs w:val="40"/>
    </w:rPr>
  </w:style>
  <w:style w:styleId="Heading2" w:type="paragraph">
    <w:name w:val="heading 2"/>
    <w:basedOn w:val="Normal"/>
    <w:next w:val="BodyText"/>
    <w:link w:val="Heading2Char"/>
    <w:uiPriority w:val="9"/>
    <w:semiHidden/>
    <w:unhideWhenUsed/>
    <w:qFormat/>
    <w:rsid w:val="00A10FD9"/>
    <w:pPr>
      <w:keepNext/>
      <w:keepLines/>
      <w:spacing w:after="200" w:before="360" w:line="276" w:lineRule="auto"/>
      <w:outlineLvl w:val="1"/>
    </w:pPr>
    <w:rPr>
      <w:rFonts w:asciiTheme="majorHAnsi" w:cstheme="majorBidi" w:eastAsiaTheme="majorEastAsia" w:hAnsiTheme="majorHAnsi" w:ascii="Times New Roman" w:hAnsi="Times New Roman"/>
      <w:b/>
      <w:color w:val="000000"/>
      <w:sz w:val="26"/>
      <w:szCs w:val="32"/>
    </w:rPr>
  </w:style>
  <w:style w:styleId="Heading3" w:type="paragraph">
    <w:name w:val="heading 3"/>
    <w:basedOn w:val="Normal"/>
    <w:next w:val="BodyText"/>
    <w:link w:val="Heading3Char"/>
    <w:uiPriority w:val="9"/>
    <w:semiHidden/>
    <w:unhideWhenUsed/>
    <w:qFormat/>
    <w:rsid w:val="00A10FD9"/>
    <w:pPr>
      <w:keepNext/>
      <w:keepLines/>
      <w:spacing w:after="80" w:before="160" w:line="276" w:lineRule="auto"/>
      <w:outlineLvl w:val="2"/>
    </w:pPr>
    <w:rPr>
      <w:rFonts w:cstheme="majorBidi" w:eastAsiaTheme="majorEastAsia" w:ascii="Times New Roman" w:hAnsi="Times New Roman"/>
      <w:b/>
      <w:color w:val="000000"/>
      <w:sz w:val="22"/>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 w:type="paragraph" w:customStyle="1" w:styleId="ListParagraph">
    <w:name w:val="List Paragraph"/>
    <w:pPr>
      <w:spacing w:line="276" w:lineRule="auto"/>
    </w:pPr>
    <w:rPr>
      <w:rFonts w:ascii="Times New Roman" w:hAnsi="Times New Roman"/>
      <w:b w:val="0"/>
      <w:color w:val="000000"/>
      <w:sz w:val="22"/>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2026-08-25T08:14:32Z</dcterms:created>
  <dcterms:modified xsi:type="dcterms:W3CDTF">2026-08-25T08:14:32Z</dcterms:modified>
</cp:coreProperties>
</file>

<file path=docProps/custom.xml><?xml version="1.0" encoding="utf-8"?>
<Properties xmlns="http://schemas.openxmlformats.org/officeDocument/2006/custom-properties" xmlns:vt="http://schemas.openxmlformats.org/officeDocument/2006/docPropsVTypes"/>
</file>