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0" w:name="advisor-agreement"/>
    <w:p>
      <w:pPr>
        <w:pStyle w:val="Heading1"/>
      </w:pPr>
      <w:r>
        <w:t>ADVISOR AGREEMENT</w:t>
      </w:r>
    </w:p>
    <w:p>
      <w:pPr>
        <w:pStyle w:val="FirstParagraph"/>
      </w:pPr>
      <w:r>
        <w:rPr>
          <w:rFonts w:ascii="Times New Roman" w:hAnsi="Times New Roman"/>
          <w:sz w:val="22"/>
        </w:rPr>
        <w:t>THIS ADVISOR AGREEMENT is made effective as of ________________ (the "Effective Date"),</w:t>
      </w:r>
    </w:p>
    <w:p>
      <w:pPr>
        <w:pStyle w:val="BodyText"/>
      </w:pPr>
      <w:r>
        <w:rPr>
          <w:rFonts w:ascii="Times New Roman" w:hAnsi="Times New Roman"/>
          <w:b/>
          <w:bCs/>
          <w:sz w:val="22"/>
        </w:rPr>
        <w:t>BETWEEN:</w:t>
      </w:r>
    </w:p>
    <w:p>
      <w:pPr>
        <w:pStyle w:val="BodyText"/>
      </w:pPr>
      <w:r>
        <w:rPr>
          <w:rFonts w:ascii="Times New Roman" w:hAnsi="Times New Roman"/>
          <w:b/>
          <w:bCs/>
          <w:sz w:val="22"/>
        </w:rPr>
        <w:t>OCTION LABS INC.</w:t>
      </w:r>
      <w:r>
        <w:rPr>
          <w:rFonts w:ascii="Times New Roman" w:hAnsi="Times New Roman"/>
          <w:sz w:val="22"/>
        </w:rPr>
        <w:t xml:space="preserve"> </w:t>
      </w:r>
      <w:r>
        <w:rPr>
          <w:rFonts w:ascii="Times New Roman" w:hAnsi="Times New Roman"/>
          <w:sz w:val="22"/>
        </w:rPr>
        <w:t>(the "Company") - Address: ________________________________</w:t>
      </w:r>
    </w:p>
    <w:p>
      <w:pPr>
        <w:pStyle w:val="BodyText"/>
      </w:pPr>
      <w:r>
        <w:rPr>
          <w:rFonts w:ascii="Times New Roman" w:hAnsi="Times New Roman"/>
          <w:b/>
          <w:bCs/>
          <w:sz w:val="22"/>
        </w:rPr>
        <w:t>AND:</w:t>
      </w:r>
    </w:p>
    <w:p>
      <w:pPr>
        <w:pStyle w:val="BodyText"/>
      </w:pPr>
      <w:r>
        <w:rPr>
          <w:rFonts w:ascii="Times New Roman" w:hAnsi="Times New Roman"/>
          <w:b/>
          <w:bCs/>
          <w:sz w:val="22"/>
        </w:rPr>
        <w:t>BARINDER BHULLAR</w:t>
      </w:r>
      <w:r>
        <w:rPr>
          <w:rFonts w:ascii="Times New Roman" w:hAnsi="Times New Roman"/>
          <w:sz w:val="22"/>
        </w:rPr>
        <w:t xml:space="preserve"> </w:t>
      </w:r>
      <w:r>
        <w:rPr>
          <w:rFonts w:ascii="Times New Roman" w:hAnsi="Times New Roman"/>
          <w:sz w:val="22"/>
        </w:rPr>
        <w:t>(the "Advisor") - Address: ________________________________ - Email: ________________________________</w:t>
      </w:r>
    </w:p>
    <w:p>
      <w:pPr>
        <w:pStyle w:val="BodyText"/>
      </w:pPr>
      <w:r>
        <w:rPr>
          <w:rFonts w:ascii="Times New Roman" w:hAnsi="Times New Roman"/>
          <w:sz w:val="22"/>
        </w:rPr>
        <w:t>(collectively, the "Parties" and each a "Party")</w:t>
      </w:r>
    </w:p>
    <w:p>
      <w:r>
        <w:rPr>
          <w:rFonts w:ascii="Times New Roman" w:hAnsi="Times New Roman"/>
          <w:sz w:val="22"/>
        </w:rPr>
      </w:r>
    </w:p>
    <w:bookmarkStart w:id="9" w:name="definitions"/>
    <w:p>
      <w:pPr>
        <w:pStyle w:val="Heading2"/>
      </w:pPr>
      <w:r>
        <w:t>1. DEFINITIONS</w:t>
      </w:r>
    </w:p>
    <w:p>
      <w:pPr>
        <w:pStyle w:val="FirstParagraph"/>
      </w:pPr>
      <w:r>
        <w:rPr>
          <w:rFonts w:ascii="Times New Roman" w:hAnsi="Times New Roman"/>
          <w:sz w:val="22"/>
        </w:rPr>
        <w:t>In this Agreement, the following terms have the meanings set out below:</w:t>
      </w:r>
    </w:p>
    <w:p>
      <w:pPr>
        <w:pStyle w:val="Compact"/>
        <w:numPr>
          <w:ilvl w:val="0"/>
          <w:numId w:val="1001"/>
        </w:numPr>
      </w:pPr>
      <w:r>
        <w:rPr>
          <w:rFonts w:ascii="Times New Roman" w:hAnsi="Times New Roman"/>
          <w:b/>
          <w:bCs/>
          <w:sz w:val="22"/>
        </w:rPr>
        <w:t>"Affiliate"</w:t>
      </w:r>
      <w:r>
        <w:rPr>
          <w:rFonts w:ascii="Times New Roman" w:hAnsi="Times New Roman"/>
          <w:sz w:val="22"/>
        </w:rPr>
        <w:t xml:space="preserve"> </w:t>
      </w:r>
      <w:r>
        <w:rPr>
          <w:rFonts w:ascii="Times New Roman" w:hAnsi="Times New Roman"/>
          <w:sz w:val="22"/>
        </w:rPr>
        <w:t>means any entity that directly or indirectly controls, is controlled by, or is under common control with the Company.</w:t>
      </w:r>
    </w:p>
    <w:p>
      <w:pPr>
        <w:pStyle w:val="Compact"/>
        <w:numPr>
          <w:ilvl w:val="0"/>
          <w:numId w:val="1001"/>
        </w:numPr>
      </w:pPr>
      <w:r>
        <w:rPr>
          <w:rFonts w:ascii="Times New Roman" w:hAnsi="Times New Roman"/>
          <w:b/>
          <w:bCs/>
          <w:sz w:val="22"/>
        </w:rPr>
        <w:t>"Confidential Information"</w:t>
      </w:r>
      <w:r>
        <w:rPr>
          <w:rFonts w:ascii="Times New Roman" w:hAnsi="Times New Roman"/>
          <w:sz w:val="22"/>
        </w:rPr>
        <w:t xml:space="preserve"> </w:t>
      </w:r>
      <w:r>
        <w:rPr>
          <w:rFonts w:ascii="Times New Roman" w:hAnsi="Times New Roman"/>
          <w:sz w:val="22"/>
        </w:rPr>
        <w:t>means all non-public information disclosed by the Company to the Advisor, whether in writing, orally, electronically, or otherwise, including business plans, client lists, pricing, technology, financial information, product roadmaps, and proprietary data.</w:t>
      </w:r>
    </w:p>
    <w:p>
      <w:pPr>
        <w:pStyle w:val="Compact"/>
        <w:numPr>
          <w:ilvl w:val="0"/>
          <w:numId w:val="1001"/>
        </w:numPr>
      </w:pPr>
      <w:r>
        <w:rPr>
          <w:rFonts w:ascii="Times New Roman" w:hAnsi="Times New Roman"/>
          <w:b/>
          <w:bCs/>
          <w:sz w:val="22"/>
        </w:rPr>
        <w:t>"Net Profit"</w:t>
      </w:r>
      <w:r>
        <w:rPr>
          <w:rFonts w:ascii="Times New Roman" w:hAnsi="Times New Roman"/>
          <w:sz w:val="22"/>
        </w:rPr>
        <w:t xml:space="preserve"> </w:t>
      </w:r>
      <w:r>
        <w:rPr>
          <w:rFonts w:ascii="Times New Roman" w:hAnsi="Times New Roman"/>
          <w:sz w:val="22"/>
        </w:rPr>
        <w:t>means the gross fees received by the Company for a client contract less the direct costs incurred to deliver that contract, as determined by the Company in good faith in accordance with its standard cost attribution methodology.</w:t>
      </w:r>
    </w:p>
    <w:p>
      <w:pPr>
        <w:pStyle w:val="Compact"/>
        <w:numPr>
          <w:ilvl w:val="0"/>
          <w:numId w:val="1001"/>
        </w:numPr>
      </w:pPr>
      <w:r>
        <w:rPr>
          <w:rFonts w:ascii="Times New Roman" w:hAnsi="Times New Roman"/>
          <w:b/>
          <w:bCs/>
          <w:sz w:val="22"/>
        </w:rPr>
        <w:t>"Shares"</w:t>
      </w:r>
      <w:r>
        <w:rPr>
          <w:rFonts w:ascii="Times New Roman" w:hAnsi="Times New Roman"/>
          <w:sz w:val="22"/>
        </w:rPr>
        <w:t xml:space="preserve"> </w:t>
      </w:r>
      <w:r>
        <w:rPr>
          <w:rFonts w:ascii="Times New Roman" w:hAnsi="Times New Roman"/>
          <w:sz w:val="22"/>
        </w:rPr>
        <w:t>means the common shares representing 3% of the Company's issued and outstanding share capital on a fully diluted basis as of the Effective Date.</w:t>
      </w:r>
    </w:p>
    <w:bookmarkEnd w:id="9"/>
    <w:bookmarkStart w:id="10" w:name="purpose-and-relationship"/>
    <w:p>
      <w:pPr>
        <w:pStyle w:val="Heading2"/>
      </w:pPr>
      <w:r>
        <w:t>2. PURPOSE AND RELATIONSHIP</w:t>
      </w:r>
    </w:p>
    <w:p>
      <w:pPr>
        <w:numPr>
          <w:ilvl w:val="0"/>
          <w:numId w:val="1002"/>
        </w:numPr>
      </w:pPr>
      <w:r>
        <w:rPr>
          <w:rFonts w:ascii="Times New Roman" w:hAnsi="Times New Roman"/>
          <w:sz w:val="22"/>
        </w:rPr>
        <w:t>The Company retains the Advisor as a non-exclusive strategic advisor to provide introductions, sector guidance, and business development support in healthcare, government, cultural initiatives, strategic advisor recruitment, and hard-to-access niche entry.</w:t>
      </w:r>
    </w:p>
    <w:p>
      <w:pPr>
        <w:numPr>
          <w:ilvl w:val="0"/>
          <w:numId w:val="1002"/>
        </w:numPr>
      </w:pPr>
      <w:r>
        <w:rPr>
          <w:rFonts w:ascii="Times New Roman" w:hAnsi="Times New Roman"/>
          <w:sz w:val="22"/>
        </w:rPr>
        <w:t>The Advisor's relationship with the Company is that of an independent contractor. Nothing in this Agreement creates an employment, partnership, joint venture, agency, or fiduciary relationship.</w:t>
      </w:r>
    </w:p>
    <w:p>
      <w:pPr>
        <w:numPr>
          <w:ilvl w:val="0"/>
          <w:numId w:val="1002"/>
        </w:numPr>
      </w:pPr>
      <w:r>
        <w:rPr>
          <w:rFonts w:ascii="Times New Roman" w:hAnsi="Times New Roman"/>
          <w:sz w:val="22"/>
        </w:rPr>
        <w:t>The Advisor has no authority to bind the Company, negotiate contracts, or incur any obligation on the Company's behalf.</w:t>
      </w:r>
    </w:p>
    <w:bookmarkEnd w:id="10"/>
    <w:bookmarkStart w:id="11" w:name="term"/>
    <w:p>
      <w:pPr>
        <w:pStyle w:val="Heading2"/>
      </w:pPr>
      <w:r>
        <w:t>3. TERM</w:t>
      </w:r>
    </w:p>
    <w:p>
      <w:pPr>
        <w:pStyle w:val="FirstParagraph"/>
      </w:pPr>
      <w:r>
        <w:rPr>
          <w:rFonts w:ascii="Times New Roman" w:hAnsi="Times New Roman"/>
          <w:sz w:val="22"/>
        </w:rPr>
        <w:t>This Agreement commences on the Effective Date and continues for an initial term of 24 months (the "Initial Term"), unless earlier terminated in accordance with Section 13. The Agreement may be extended by mutual written agreement.</w:t>
      </w:r>
    </w:p>
    <w:bookmarkEnd w:id="11"/>
    <w:bookmarkStart w:id="12" w:name="advisor-duties"/>
    <w:p>
      <w:pPr>
        <w:pStyle w:val="Heading2"/>
      </w:pPr>
      <w:r>
        <w:t>4. ADVISOR DUTIES</w:t>
      </w:r>
    </w:p>
    <w:p>
      <w:pPr>
        <w:pStyle w:val="FirstParagraph"/>
      </w:pPr>
      <w:r>
        <w:rPr>
          <w:rFonts w:ascii="Times New Roman" w:hAnsi="Times New Roman"/>
          <w:sz w:val="22"/>
        </w:rPr>
        <w:t>During the Term, the Advisor agrees to:</w:t>
      </w:r>
    </w:p>
    <w:p>
      <w:pPr>
        <w:numPr>
          <w:ilvl w:val="0"/>
          <w:numId w:val="1003"/>
        </w:numPr>
      </w:pPr>
      <w:r>
        <w:rPr>
          <w:rFonts w:ascii="Times New Roman" w:hAnsi="Times New Roman"/>
          <w:sz w:val="22"/>
        </w:rPr>
        <w:t>Provide strategic advice and feedback on the Company's positioning, products, and go-to-market strategy in healthcare, government, and cultural sectors;</w:t>
      </w:r>
    </w:p>
    <w:p>
      <w:pPr>
        <w:numPr>
          <w:ilvl w:val="0"/>
          <w:numId w:val="1003"/>
        </w:numPr>
      </w:pPr>
      <w:r>
        <w:rPr>
          <w:rFonts w:ascii="Times New Roman" w:hAnsi="Times New Roman"/>
          <w:sz w:val="22"/>
        </w:rPr>
        <w:t>Identify and facilitate introductions to potential clients, strategic advisors, and hard-to-access niche decision-makers;</w:t>
      </w:r>
    </w:p>
    <w:p>
      <w:pPr>
        <w:numPr>
          <w:ilvl w:val="0"/>
          <w:numId w:val="1003"/>
        </w:numPr>
      </w:pPr>
      <w:r>
        <w:rPr>
          <w:rFonts w:ascii="Times New Roman" w:hAnsi="Times New Roman"/>
          <w:sz w:val="22"/>
        </w:rPr>
        <w:t>Make reasonable efforts to participate in at least one substantive advisory interaction per month, which may include calls, meetings, introductions, document reviews, or strategy sessions;</w:t>
      </w:r>
    </w:p>
    <w:p>
      <w:pPr>
        <w:numPr>
          <w:ilvl w:val="0"/>
          <w:numId w:val="1003"/>
        </w:numPr>
      </w:pPr>
      <w:r>
        <w:rPr>
          <w:rFonts w:ascii="Times New Roman" w:hAnsi="Times New Roman"/>
          <w:sz w:val="22"/>
        </w:rPr>
        <w:t>Respond to reasonable Company requests within 3 business days;</w:t>
      </w:r>
    </w:p>
    <w:p>
      <w:pPr>
        <w:numPr>
          <w:ilvl w:val="0"/>
          <w:numId w:val="1003"/>
        </w:numPr>
      </w:pPr>
      <w:r>
        <w:rPr>
          <w:rFonts w:ascii="Times New Roman" w:hAnsi="Times New Roman"/>
          <w:sz w:val="22"/>
        </w:rPr>
        <w:t>Act as a referenceable advisor for Company sales conversations, subject to prior approval; and</w:t>
      </w:r>
    </w:p>
    <w:p>
      <w:pPr>
        <w:numPr>
          <w:ilvl w:val="0"/>
          <w:numId w:val="1003"/>
        </w:numPr>
      </w:pPr>
      <w:r>
        <w:rPr>
          <w:rFonts w:ascii="Times New Roman" w:hAnsi="Times New Roman"/>
          <w:sz w:val="22"/>
        </w:rPr>
        <w:t>Keep the Company informed of relevant industry developments, opportunities, and contacts.</w:t>
      </w:r>
    </w:p>
    <w:bookmarkEnd w:id="12"/>
    <w:bookmarkStart w:id="13" w:name="equity-grant"/>
    <w:p>
      <w:pPr>
        <w:pStyle w:val="Heading2"/>
      </w:pPr>
      <w:r>
        <w:t>5. EQUITY GRANT</w:t>
      </w:r>
    </w:p>
    <w:p>
      <w:pPr>
        <w:numPr>
          <w:ilvl w:val="0"/>
          <w:numId w:val="1004"/>
        </w:numPr>
      </w:pPr>
      <w:r>
        <w:rPr>
          <w:rFonts w:ascii="Times New Roman" w:hAnsi="Times New Roman"/>
          <w:b/>
          <w:bCs/>
          <w:sz w:val="22"/>
        </w:rPr>
        <w:t>Grant.</w:t>
      </w:r>
      <w:r>
        <w:rPr>
          <w:rFonts w:ascii="Times New Roman" w:hAnsi="Times New Roman"/>
          <w:sz w:val="22"/>
        </w:rPr>
        <w:t xml:space="preserve"> </w:t>
      </w:r>
      <w:r>
        <w:rPr>
          <w:rFonts w:ascii="Times New Roman" w:hAnsi="Times New Roman"/>
          <w:sz w:val="22"/>
        </w:rPr>
        <w:t>Subject to approval by the Company's board of directors and any required shareholder approvals, the Company will issue or reserve for issuance to the Advisor common shares representing</w:t>
      </w:r>
      <w:r>
        <w:rPr>
          <w:rFonts w:ascii="Times New Roman" w:hAnsi="Times New Roman"/>
          <w:sz w:val="22"/>
        </w:rPr>
        <w:t xml:space="preserve"> </w:t>
      </w:r>
      <w:r>
        <w:rPr>
          <w:rFonts w:ascii="Times New Roman" w:hAnsi="Times New Roman"/>
          <w:b/>
          <w:bCs/>
          <w:sz w:val="22"/>
        </w:rPr>
        <w:t>3%</w:t>
      </w:r>
      <w:r>
        <w:rPr>
          <w:rFonts w:ascii="Times New Roman" w:hAnsi="Times New Roman"/>
          <w:sz w:val="22"/>
        </w:rPr>
        <w:t xml:space="preserve"> </w:t>
      </w:r>
      <w:r>
        <w:rPr>
          <w:rFonts w:ascii="Times New Roman" w:hAnsi="Times New Roman"/>
          <w:sz w:val="22"/>
        </w:rPr>
        <w:t>of the Company's issued and outstanding share capital on a fully diluted basis as of the Effective Date (the "Shares").</w:t>
      </w:r>
    </w:p>
    <w:p>
      <w:pPr>
        <w:numPr>
          <w:ilvl w:val="0"/>
          <w:numId w:val="1004"/>
        </w:numPr>
      </w:pPr>
      <w:r>
        <w:rPr>
          <w:rFonts w:ascii="Times New Roman" w:hAnsi="Times New Roman"/>
          <w:b/>
          <w:bCs/>
          <w:sz w:val="22"/>
        </w:rPr>
        <w:t>Vesting.</w:t>
      </w:r>
      <w:r>
        <w:rPr>
          <w:rFonts w:ascii="Times New Roman" w:hAnsi="Times New Roman"/>
          <w:sz w:val="22"/>
        </w:rPr>
        <w:t xml:space="preserve"> </w:t>
      </w:r>
      <w:r>
        <w:rPr>
          <w:rFonts w:ascii="Times New Roman" w:hAnsi="Times New Roman"/>
          <w:sz w:val="22"/>
        </w:rPr>
        <w:t>The Shares shall vest as follows:</w:t>
      </w:r>
    </w:p>
    <w:p>
      <w:pPr>
        <w:pStyle w:val="Compact"/>
        <w:numPr>
          <w:ilvl w:val="0"/>
          <w:numId w:val="1005"/>
        </w:numPr>
      </w:pPr>
      <w:r>
        <w:rPr>
          <w:rFonts w:ascii="Times New Roman" w:hAnsi="Times New Roman"/>
          <w:b/>
          <w:bCs/>
          <w:sz w:val="22"/>
        </w:rPr>
        <w:t>Time-Based Vesting.</w:t>
      </w:r>
      <w:r>
        <w:rPr>
          <w:rFonts w:ascii="Times New Roman" w:hAnsi="Times New Roman"/>
          <w:sz w:val="22"/>
        </w:rPr>
        <w:t xml:space="preserve"> </w:t>
      </w:r>
      <w:r>
        <w:rPr>
          <w:rFonts w:ascii="Times New Roman" w:hAnsi="Times New Roman"/>
          <w:sz w:val="22"/>
        </w:rPr>
        <w:t>25% of the Shares (0.75% on a fully diluted basis) shall vest in 24 equal monthly instalments commencing on the Effective Date, subject to the Advisor's continued service through each vesting date.</w:t>
      </w:r>
    </w:p>
    <w:p>
      <w:pPr>
        <w:pStyle w:val="Compact"/>
        <w:numPr>
          <w:ilvl w:val="0"/>
          <w:numId w:val="1005"/>
        </w:numPr>
      </w:pPr>
      <w:r>
        <w:rPr>
          <w:rFonts w:ascii="Times New Roman" w:hAnsi="Times New Roman"/>
          <w:b/>
          <w:bCs/>
          <w:sz w:val="22"/>
        </w:rPr>
        <w:t>Milestone Vesting.</w:t>
      </w:r>
      <w:r>
        <w:rPr>
          <w:rFonts w:ascii="Times New Roman" w:hAnsi="Times New Roman"/>
          <w:sz w:val="22"/>
        </w:rPr>
        <w:t xml:space="preserve"> </w:t>
      </w:r>
      <w:r>
        <w:rPr>
          <w:rFonts w:ascii="Times New Roman" w:hAnsi="Times New Roman"/>
          <w:sz w:val="22"/>
        </w:rPr>
        <w:t>75% of the Shares (2.25% on a fully diluted basis) shall vest upon the achievement of the milestones set out in Schedule A.</w:t>
      </w:r>
    </w:p>
    <w:p>
      <w:pPr>
        <w:numPr>
          <w:ilvl w:val="0"/>
          <w:numId w:val="1006"/>
        </w:numPr>
      </w:pPr>
      <w:r>
        <w:rPr>
          <w:rFonts w:ascii="Times New Roman" w:hAnsi="Times New Roman"/>
          <w:b/>
          <w:bCs/>
          <w:sz w:val="22"/>
        </w:rPr>
        <w:t>Acceleration.</w:t>
      </w:r>
      <w:r>
        <w:rPr>
          <w:rFonts w:ascii="Times New Roman" w:hAnsi="Times New Roman"/>
          <w:sz w:val="22"/>
        </w:rPr>
        <w:t xml:space="preserve"> </w:t>
      </w:r>
      <w:r>
        <w:rPr>
          <w:rFonts w:ascii="Times New Roman" w:hAnsi="Times New Roman"/>
          <w:sz w:val="22"/>
        </w:rPr>
        <w:t>If the Advisor introduces a client that enters into a contract with an initial value of CAD $250,000 or more, all then-unvested Milestone Shares shall immediately vest.</w:t>
      </w:r>
    </w:p>
    <w:p>
      <w:pPr>
        <w:numPr>
          <w:ilvl w:val="0"/>
          <w:numId w:val="1006"/>
        </w:numPr>
      </w:pPr>
      <w:r>
        <w:rPr>
          <w:rFonts w:ascii="Times New Roman" w:hAnsi="Times New Roman"/>
          <w:b/>
          <w:bCs/>
          <w:sz w:val="22"/>
        </w:rPr>
        <w:t>Definitive Equity Documents.</w:t>
      </w:r>
      <w:r>
        <w:rPr>
          <w:rFonts w:ascii="Times New Roman" w:hAnsi="Times New Roman"/>
          <w:sz w:val="22"/>
        </w:rPr>
        <w:t xml:space="preserve"> </w:t>
      </w:r>
      <w:r>
        <w:rPr>
          <w:rFonts w:ascii="Times New Roman" w:hAnsi="Times New Roman"/>
          <w:sz w:val="22"/>
        </w:rPr>
        <w:t>The grant of Shares shall be governed by a separate Share Subscription Agreement, Shareholders' Agreement, and any other documents required by the Company's legal counsel. If the Company does not yet have a formal equity incentive plan, the grant shall be documented by board resolution and share issuance upon vesting.</w:t>
      </w:r>
    </w:p>
    <w:p>
      <w:pPr>
        <w:numPr>
          <w:ilvl w:val="0"/>
          <w:numId w:val="1006"/>
        </w:numPr>
      </w:pPr>
      <w:r>
        <w:rPr>
          <w:rFonts w:ascii="Times New Roman" w:hAnsi="Times New Roman"/>
          <w:b/>
          <w:bCs/>
          <w:sz w:val="22"/>
        </w:rPr>
        <w:t>Section 85 Election.</w:t>
      </w:r>
      <w:r>
        <w:rPr>
          <w:rFonts w:ascii="Times New Roman" w:hAnsi="Times New Roman"/>
          <w:sz w:val="22"/>
        </w:rPr>
        <w:t xml:space="preserve"> </w:t>
      </w:r>
      <w:r>
        <w:rPr>
          <w:rFonts w:ascii="Times New Roman" w:hAnsi="Times New Roman"/>
          <w:sz w:val="22"/>
        </w:rPr>
        <w:t>The Advisor and the Company may jointly elect under section 85 of the Income Tax Act (Canada) to transfer property for shares at an agreed amount. The Advisor agrees to cooperate in filing any such election.</w:t>
      </w:r>
    </w:p>
    <w:bookmarkEnd w:id="13"/>
    <w:bookmarkStart w:id="14" w:name="commission-on-client-contracts"/>
    <w:p>
      <w:pPr>
        <w:pStyle w:val="Heading2"/>
      </w:pPr>
      <w:r>
        <w:t>6. COMMISSION ON CLIENT CONTRACTS</w:t>
      </w:r>
    </w:p>
    <w:p>
      <w:pPr>
        <w:numPr>
          <w:ilvl w:val="0"/>
          <w:numId w:val="1007"/>
        </w:numPr>
      </w:pPr>
      <w:r>
        <w:rPr>
          <w:rFonts w:ascii="Times New Roman" w:hAnsi="Times New Roman"/>
          <w:b/>
          <w:bCs/>
          <w:sz w:val="22"/>
        </w:rPr>
        <w:t>Commission.</w:t>
      </w:r>
      <w:r>
        <w:rPr>
          <w:rFonts w:ascii="Times New Roman" w:hAnsi="Times New Roman"/>
          <w:sz w:val="22"/>
        </w:rPr>
        <w:t xml:space="preserve"> </w:t>
      </w:r>
      <w:r>
        <w:rPr>
          <w:rFonts w:ascii="Times New Roman" w:hAnsi="Times New Roman"/>
          <w:sz w:val="22"/>
        </w:rPr>
        <w:t>The Company shall pay the Advisor a commission equal to</w:t>
      </w:r>
      <w:r>
        <w:rPr>
          <w:rFonts w:ascii="Times New Roman" w:hAnsi="Times New Roman"/>
          <w:sz w:val="22"/>
        </w:rPr>
        <w:t xml:space="preserve"> </w:t>
      </w:r>
      <w:r>
        <w:rPr>
          <w:rFonts w:ascii="Times New Roman" w:hAnsi="Times New Roman"/>
          <w:b/>
          <w:bCs/>
          <w:sz w:val="22"/>
        </w:rPr>
        <w:t>10%</w:t>
      </w:r>
      <w:r>
        <w:rPr>
          <w:rFonts w:ascii="Times New Roman" w:hAnsi="Times New Roman"/>
          <w:sz w:val="22"/>
        </w:rPr>
        <w:t xml:space="preserve"> </w:t>
      </w:r>
      <w:r>
        <w:rPr>
          <w:rFonts w:ascii="Times New Roman" w:hAnsi="Times New Roman"/>
          <w:sz w:val="22"/>
        </w:rPr>
        <w:t>of the Net Profit from any client contract entered into by the Company or any of its affiliates with a party introduced by the Advisor.</w:t>
      </w:r>
    </w:p>
    <w:p>
      <w:pPr>
        <w:numPr>
          <w:ilvl w:val="0"/>
          <w:numId w:val="1007"/>
        </w:numPr>
      </w:pPr>
      <w:r>
        <w:rPr>
          <w:rFonts w:ascii="Times New Roman" w:hAnsi="Times New Roman"/>
          <w:b/>
          <w:bCs/>
          <w:sz w:val="22"/>
        </w:rPr>
        <w:t>Eligible Contracts.</w:t>
      </w:r>
      <w:r>
        <w:rPr>
          <w:rFonts w:ascii="Times New Roman" w:hAnsi="Times New Roman"/>
          <w:sz w:val="22"/>
        </w:rPr>
        <w:t xml:space="preserve"> </w:t>
      </w:r>
      <w:r>
        <w:rPr>
          <w:rFonts w:ascii="Times New Roman" w:hAnsi="Times New Roman"/>
          <w:sz w:val="22"/>
        </w:rPr>
        <w:t>This commission applies to both Oction Labs Inc. AI deployment engagements and Oction Consulting and Marketing Inc. service engagements. There is no annual cap on commissions.</w:t>
      </w:r>
    </w:p>
    <w:p>
      <w:pPr>
        <w:numPr>
          <w:ilvl w:val="0"/>
          <w:numId w:val="1007"/>
        </w:numPr>
      </w:pPr>
      <w:r>
        <w:rPr>
          <w:rFonts w:ascii="Times New Roman" w:hAnsi="Times New Roman"/>
          <w:b/>
          <w:bCs/>
          <w:sz w:val="22"/>
        </w:rPr>
        <w:t>Payment Terms.</w:t>
      </w:r>
      <w:r>
        <w:rPr>
          <w:rFonts w:ascii="Times New Roman" w:hAnsi="Times New Roman"/>
          <w:sz w:val="22"/>
        </w:rPr>
        <w:t xml:space="preserve"> </w:t>
      </w:r>
      <w:r>
        <w:rPr>
          <w:rFonts w:ascii="Times New Roman" w:hAnsi="Times New Roman"/>
          <w:sz w:val="22"/>
        </w:rPr>
        <w:t>Commission is payable net 15 days after the Company determines and records the Net Profit attributable to the relevant client payment period. If the contract is paid in instalments, commission is paid proportionally as Net Profit is realized. Commission is also payable on renewals, extensions, and additional work signed with the same client, including renewals or additional work with any affiliate (such as Oction Consulting and Marketing Inc.), provided the original introduction was documented under Section 6(e). The 10% commission applies to all such continued Net Profit, regardless of which entity within the Oction group bills the client.</w:t>
      </w:r>
    </w:p>
    <w:p>
      <w:pPr>
        <w:numPr>
          <w:ilvl w:val="0"/>
          <w:numId w:val="1007"/>
        </w:numPr>
      </w:pPr>
      <w:r>
        <w:rPr>
          <w:rFonts w:ascii="Times New Roman" w:hAnsi="Times New Roman"/>
          <w:b/>
          <w:bCs/>
          <w:sz w:val="22"/>
        </w:rPr>
        <w:t>Attribution.</w:t>
      </w:r>
      <w:r>
        <w:rPr>
          <w:rFonts w:ascii="Times New Roman" w:hAnsi="Times New Roman"/>
          <w:sz w:val="22"/>
        </w:rPr>
        <w:t xml:space="preserve"> </w:t>
      </w:r>
      <w:r>
        <w:rPr>
          <w:rFonts w:ascii="Times New Roman" w:hAnsi="Times New Roman"/>
          <w:sz w:val="22"/>
        </w:rPr>
        <w:t>A client introduction must be documented by a written communication from the Advisor to the prospective client decision-maker (email, LinkedIn message, or similar), with a copy to the Company. The Company has final discretion to determine attribution, provided such determination is made in good faith.</w:t>
      </w:r>
    </w:p>
    <w:p>
      <w:pPr>
        <w:numPr>
          <w:ilvl w:val="0"/>
          <w:numId w:val="1007"/>
        </w:numPr>
      </w:pPr>
      <w:r>
        <w:rPr>
          <w:rFonts w:ascii="Times New Roman" w:hAnsi="Times New Roman"/>
          <w:b/>
          <w:bCs/>
          <w:sz w:val="22"/>
        </w:rPr>
        <w:t>Clawback.</w:t>
      </w:r>
      <w:r>
        <w:rPr>
          <w:rFonts w:ascii="Times New Roman" w:hAnsi="Times New Roman"/>
          <w:sz w:val="22"/>
        </w:rPr>
        <w:t xml:space="preserve"> </w:t>
      </w:r>
      <w:r>
        <w:rPr>
          <w:rFonts w:ascii="Times New Roman" w:hAnsi="Times New Roman"/>
          <w:sz w:val="22"/>
        </w:rPr>
        <w:t>If a client contract is cancelled or fully refunded within 90 days of execution and the Company does not retain any fees, the corresponding commission shall be refunded to the Company or offset against future amounts owed to the Advisor.</w:t>
      </w:r>
    </w:p>
    <w:bookmarkEnd w:id="14"/>
    <w:bookmarkStart w:id="15" w:name="finder-fee-on-funds-raised-secondary"/>
    <w:p>
      <w:pPr>
        <w:pStyle w:val="Heading2"/>
      </w:pPr>
      <w:r>
        <w:t>7. FINDER FEE ON FUNDS RAISED (SECONDARY)</w:t>
      </w:r>
    </w:p>
    <w:p>
      <w:pPr>
        <w:numPr>
          <w:ilvl w:val="0"/>
          <w:numId w:val="1008"/>
        </w:numPr>
      </w:pPr>
      <w:r>
        <w:rPr>
          <w:rFonts w:ascii="Times New Roman" w:hAnsi="Times New Roman"/>
          <w:b/>
          <w:bCs/>
          <w:sz w:val="22"/>
        </w:rPr>
        <w:t>Finder Fee.</w:t>
      </w:r>
      <w:r>
        <w:rPr>
          <w:rFonts w:ascii="Times New Roman" w:hAnsi="Times New Roman"/>
          <w:sz w:val="22"/>
        </w:rPr>
        <w:t xml:space="preserve"> </w:t>
      </w:r>
      <w:r>
        <w:rPr>
          <w:rFonts w:ascii="Times New Roman" w:hAnsi="Times New Roman"/>
          <w:sz w:val="22"/>
        </w:rPr>
        <w:t>If the Advisor introduces investors, lenders, or grantors that result in capital being raised by the Company or any of its affiliates, the Company shall pay the Advisor a finders fee equal to</w:t>
      </w:r>
      <w:r>
        <w:rPr>
          <w:rFonts w:ascii="Times New Roman" w:hAnsi="Times New Roman"/>
          <w:sz w:val="22"/>
        </w:rPr>
        <w:t xml:space="preserve"> </w:t>
      </w:r>
      <w:r>
        <w:rPr>
          <w:rFonts w:ascii="Times New Roman" w:hAnsi="Times New Roman"/>
          <w:b/>
          <w:bCs/>
          <w:sz w:val="22"/>
        </w:rPr>
        <w:t>5%</w:t>
      </w:r>
      <w:r>
        <w:rPr>
          <w:rFonts w:ascii="Times New Roman" w:hAnsi="Times New Roman"/>
          <w:sz w:val="22"/>
        </w:rPr>
        <w:t xml:space="preserve"> </w:t>
      </w:r>
      <w:r>
        <w:rPr>
          <w:rFonts w:ascii="Times New Roman" w:hAnsi="Times New Roman"/>
          <w:sz w:val="22"/>
        </w:rPr>
        <w:t>of the gross capital raised per tranche, capped at 5% of the total capital raised.</w:t>
      </w:r>
    </w:p>
    <w:p>
      <w:pPr>
        <w:numPr>
          <w:ilvl w:val="0"/>
          <w:numId w:val="1008"/>
        </w:numPr>
      </w:pPr>
      <w:r>
        <w:rPr>
          <w:rFonts w:ascii="Times New Roman" w:hAnsi="Times New Roman"/>
          <w:b/>
          <w:bCs/>
          <w:sz w:val="22"/>
        </w:rPr>
        <w:t>Secondary Focus.</w:t>
      </w:r>
      <w:r>
        <w:rPr>
          <w:rFonts w:ascii="Times New Roman" w:hAnsi="Times New Roman"/>
          <w:sz w:val="22"/>
        </w:rPr>
        <w:t xml:space="preserve"> </w:t>
      </w:r>
      <w:r>
        <w:rPr>
          <w:rFonts w:ascii="Times New Roman" w:hAnsi="Times New Roman"/>
          <w:sz w:val="22"/>
        </w:rPr>
        <w:t>This finders fee is secondary to the commission on client contracts set out in Section 6 and is not the primary focus of the advisory relationship.</w:t>
      </w:r>
    </w:p>
    <w:p>
      <w:pPr>
        <w:numPr>
          <w:ilvl w:val="0"/>
          <w:numId w:val="1008"/>
        </w:numPr>
      </w:pPr>
      <w:r>
        <w:rPr>
          <w:rFonts w:ascii="Times New Roman" w:hAnsi="Times New Roman"/>
          <w:b/>
          <w:bCs/>
          <w:sz w:val="22"/>
        </w:rPr>
        <w:t>Securities Exclusion.</w:t>
      </w:r>
      <w:r>
        <w:rPr>
          <w:rFonts w:ascii="Times New Roman" w:hAnsi="Times New Roman"/>
          <w:sz w:val="22"/>
        </w:rPr>
        <w:t xml:space="preserve"> </w:t>
      </w:r>
      <w:r>
        <w:rPr>
          <w:rFonts w:ascii="Times New Roman" w:hAnsi="Times New Roman"/>
          <w:sz w:val="22"/>
        </w:rPr>
        <w:t>No fee is payable for introductions that result in the purchase of the Company's equity, debt, or other securities. The Advisor is not authorized to act as a broker, dealer, finder, or placement agent in connection with any securities offering.</w:t>
      </w:r>
    </w:p>
    <w:bookmarkEnd w:id="15"/>
    <w:bookmarkStart w:id="16" w:name="expenses"/>
    <w:p>
      <w:pPr>
        <w:pStyle w:val="Heading2"/>
      </w:pPr>
      <w:r>
        <w:t>8. EXPENSES</w:t>
      </w:r>
    </w:p>
    <w:p>
      <w:pPr>
        <w:pStyle w:val="FirstParagraph"/>
      </w:pPr>
      <w:r>
        <w:rPr>
          <w:rFonts w:ascii="Times New Roman" w:hAnsi="Times New Roman"/>
          <w:sz w:val="22"/>
        </w:rPr>
        <w:t>The Advisor shall be responsible for all ordinary expenses incurred in performing advisory services, except for pre-approved expenses reimbursed in accordance with the Company's expense policy.</w:t>
      </w:r>
    </w:p>
    <w:bookmarkEnd w:id="16"/>
    <w:bookmarkStart w:id="17" w:name="confidentiality"/>
    <w:p>
      <w:pPr>
        <w:pStyle w:val="Heading2"/>
      </w:pPr>
      <w:r>
        <w:t>9. CONFIDENTIALITY</w:t>
      </w:r>
    </w:p>
    <w:p>
      <w:pPr>
        <w:numPr>
          <w:ilvl w:val="0"/>
          <w:numId w:val="1009"/>
        </w:numPr>
      </w:pPr>
      <w:r>
        <w:rPr>
          <w:rFonts w:ascii="Times New Roman" w:hAnsi="Times New Roman"/>
          <w:b/>
          <w:bCs/>
          <w:sz w:val="22"/>
        </w:rPr>
        <w:t>Confidential Information.</w:t>
      </w:r>
      <w:r>
        <w:rPr>
          <w:rFonts w:ascii="Times New Roman" w:hAnsi="Times New Roman"/>
          <w:sz w:val="22"/>
        </w:rPr>
        <w:t xml:space="preserve"> </w:t>
      </w:r>
      <w:r>
        <w:rPr>
          <w:rFonts w:ascii="Times New Roman" w:hAnsi="Times New Roman"/>
          <w:sz w:val="22"/>
        </w:rPr>
        <w:t>"Confidential Information" means all non-public information disclosed by the Company to the Advisor, including business plans, client lists, pricing, technology, financial information, product roadmaps, and proprietary data.</w:t>
      </w:r>
    </w:p>
    <w:p>
      <w:pPr>
        <w:numPr>
          <w:ilvl w:val="0"/>
          <w:numId w:val="1009"/>
        </w:numPr>
      </w:pPr>
      <w:r>
        <w:rPr>
          <w:rFonts w:ascii="Times New Roman" w:hAnsi="Times New Roman"/>
          <w:b/>
          <w:bCs/>
          <w:sz w:val="22"/>
        </w:rPr>
        <w:t>Obligations.</w:t>
      </w:r>
      <w:r>
        <w:rPr>
          <w:rFonts w:ascii="Times New Roman" w:hAnsi="Times New Roman"/>
          <w:sz w:val="22"/>
        </w:rPr>
        <w:t xml:space="preserve"> </w:t>
      </w:r>
      <w:r>
        <w:rPr>
          <w:rFonts w:ascii="Times New Roman" w:hAnsi="Times New Roman"/>
          <w:sz w:val="22"/>
        </w:rPr>
        <w:t>The Advisor agrees to hold all Confidential Information in strict confidence and not disclose it to any third party without the Company's prior written consent, except as required by law.</w:t>
      </w:r>
    </w:p>
    <w:p>
      <w:pPr>
        <w:numPr>
          <w:ilvl w:val="0"/>
          <w:numId w:val="1009"/>
        </w:numPr>
      </w:pPr>
      <w:r>
        <w:rPr>
          <w:rFonts w:ascii="Times New Roman" w:hAnsi="Times New Roman"/>
          <w:b/>
          <w:bCs/>
          <w:sz w:val="22"/>
        </w:rPr>
        <w:t>Exceptions.</w:t>
      </w:r>
      <w:r>
        <w:rPr>
          <w:rFonts w:ascii="Times New Roman" w:hAnsi="Times New Roman"/>
          <w:sz w:val="22"/>
        </w:rPr>
        <w:t xml:space="preserve"> </w:t>
      </w:r>
      <w:r>
        <w:rPr>
          <w:rFonts w:ascii="Times New Roman" w:hAnsi="Times New Roman"/>
          <w:sz w:val="22"/>
        </w:rPr>
        <w:t>Confidential Information does not include information that: (i) is or becomes publicly available through no breach of this Agreement; (ii) was rightfully known by the Advisor prior to disclosure; (iii) is rightfully received from a third party without restriction; or (iv) is independently developed without use of the Confidential Information.</w:t>
      </w:r>
    </w:p>
    <w:p>
      <w:pPr>
        <w:numPr>
          <w:ilvl w:val="0"/>
          <w:numId w:val="1009"/>
        </w:numPr>
      </w:pPr>
      <w:r>
        <w:rPr>
          <w:rFonts w:ascii="Times New Roman" w:hAnsi="Times New Roman"/>
          <w:b/>
          <w:bCs/>
          <w:sz w:val="22"/>
        </w:rPr>
        <w:t>Term.</w:t>
      </w:r>
      <w:r>
        <w:rPr>
          <w:rFonts w:ascii="Times New Roman" w:hAnsi="Times New Roman"/>
          <w:sz w:val="22"/>
        </w:rPr>
        <w:t xml:space="preserve"> </w:t>
      </w:r>
      <w:r>
        <w:rPr>
          <w:rFonts w:ascii="Times New Roman" w:hAnsi="Times New Roman"/>
          <w:sz w:val="22"/>
        </w:rPr>
        <w:t>The confidentiality obligations survive termination of this Agreement for a period of 5 years.</w:t>
      </w:r>
    </w:p>
    <w:bookmarkEnd w:id="17"/>
    <w:bookmarkStart w:id="18" w:name="intellectual-property"/>
    <w:p>
      <w:pPr>
        <w:pStyle w:val="Heading2"/>
      </w:pPr>
      <w:r>
        <w:t>10. INTELLECTUAL PROPERTY</w:t>
      </w:r>
    </w:p>
    <w:p>
      <w:pPr>
        <w:numPr>
          <w:ilvl w:val="0"/>
          <w:numId w:val="1010"/>
        </w:numPr>
      </w:pPr>
      <w:r>
        <w:rPr>
          <w:rFonts w:ascii="Times New Roman" w:hAnsi="Times New Roman"/>
          <w:b/>
          <w:bCs/>
          <w:sz w:val="22"/>
        </w:rPr>
        <w:t>Ownership.</w:t>
      </w:r>
      <w:r>
        <w:rPr>
          <w:rFonts w:ascii="Times New Roman" w:hAnsi="Times New Roman"/>
          <w:sz w:val="22"/>
        </w:rPr>
        <w:t xml:space="preserve"> </w:t>
      </w:r>
      <w:r>
        <w:rPr>
          <w:rFonts w:ascii="Times New Roman" w:hAnsi="Times New Roman"/>
          <w:sz w:val="22"/>
        </w:rPr>
        <w:t>Any work product, inventions, know-how, data, documents, or other materials created or conceived by the Advisor in the course of performing advisory services for the Company ("Work Product") shall be the sole and exclusive property of the Company.</w:t>
      </w:r>
    </w:p>
    <w:p>
      <w:pPr>
        <w:numPr>
          <w:ilvl w:val="0"/>
          <w:numId w:val="1010"/>
        </w:numPr>
      </w:pPr>
      <w:r>
        <w:rPr>
          <w:rFonts w:ascii="Times New Roman" w:hAnsi="Times New Roman"/>
          <w:b/>
          <w:bCs/>
          <w:sz w:val="22"/>
        </w:rPr>
        <w:t>Assignment.</w:t>
      </w:r>
      <w:r>
        <w:rPr>
          <w:rFonts w:ascii="Times New Roman" w:hAnsi="Times New Roman"/>
          <w:sz w:val="22"/>
        </w:rPr>
        <w:t xml:space="preserve"> </w:t>
      </w:r>
      <w:r>
        <w:rPr>
          <w:rFonts w:ascii="Times New Roman" w:hAnsi="Times New Roman"/>
          <w:sz w:val="22"/>
        </w:rPr>
        <w:t>The Advisor hereby assigns to the Company all right, title, and interest in and to any Work Product, including all intellectual property rights. The Advisor agrees to execute any documents reasonably required to perfect the Company's ownership.</w:t>
      </w:r>
    </w:p>
    <w:p>
      <w:pPr>
        <w:numPr>
          <w:ilvl w:val="0"/>
          <w:numId w:val="1010"/>
        </w:numPr>
      </w:pPr>
      <w:r>
        <w:rPr>
          <w:rFonts w:ascii="Times New Roman" w:hAnsi="Times New Roman"/>
          <w:b/>
          <w:bCs/>
          <w:sz w:val="22"/>
        </w:rPr>
        <w:t>Moral Rights.</w:t>
      </w:r>
      <w:r>
        <w:rPr>
          <w:rFonts w:ascii="Times New Roman" w:hAnsi="Times New Roman"/>
          <w:sz w:val="22"/>
        </w:rPr>
        <w:t xml:space="preserve"> </w:t>
      </w:r>
      <w:r>
        <w:rPr>
          <w:rFonts w:ascii="Times New Roman" w:hAnsi="Times New Roman"/>
          <w:sz w:val="22"/>
        </w:rPr>
        <w:t>To the extent any Work Product is not assignable by law, the Advisor grants the Company a perpetual, irrevocable, royalty-free, worldwide license to use, reproduce, modify, and distribute such Work Product.</w:t>
      </w:r>
    </w:p>
    <w:bookmarkEnd w:id="18"/>
    <w:bookmarkStart w:id="19" w:name="representations-and-warranties"/>
    <w:p>
      <w:pPr>
        <w:pStyle w:val="Heading2"/>
      </w:pPr>
      <w:r>
        <w:t>11. REPRESENTATIONS AND WARRANTIES</w:t>
      </w:r>
    </w:p>
    <w:p>
      <w:pPr>
        <w:pStyle w:val="FirstParagraph"/>
      </w:pPr>
      <w:r>
        <w:rPr>
          <w:rFonts w:ascii="Times New Roman" w:hAnsi="Times New Roman"/>
          <w:sz w:val="22"/>
        </w:rPr>
        <w:t>The Advisor represents and warrants that:</w:t>
      </w:r>
    </w:p>
    <w:p>
      <w:pPr>
        <w:numPr>
          <w:ilvl w:val="0"/>
          <w:numId w:val="1011"/>
        </w:numPr>
      </w:pPr>
      <w:r>
        <w:rPr>
          <w:rFonts w:ascii="Times New Roman" w:hAnsi="Times New Roman"/>
          <w:sz w:val="22"/>
        </w:rPr>
        <w:t>The Advisor has the full right and authority to enter into this Agreement and to perform the services contemplated hereunder;</w:t>
      </w:r>
    </w:p>
    <w:p>
      <w:pPr>
        <w:numPr>
          <w:ilvl w:val="0"/>
          <w:numId w:val="1011"/>
        </w:numPr>
      </w:pPr>
      <w:r>
        <w:rPr>
          <w:rFonts w:ascii="Times New Roman" w:hAnsi="Times New Roman"/>
          <w:sz w:val="22"/>
        </w:rPr>
        <w:t>The Advisor's performance under this Agreement will not breach any agreement with a third party;</w:t>
      </w:r>
    </w:p>
    <w:p>
      <w:pPr>
        <w:numPr>
          <w:ilvl w:val="0"/>
          <w:numId w:val="1011"/>
        </w:numPr>
      </w:pPr>
      <w:r>
        <w:rPr>
          <w:rFonts w:ascii="Times New Roman" w:hAnsi="Times New Roman"/>
          <w:sz w:val="22"/>
        </w:rPr>
        <w:t>The Advisor will comply with all applicable laws, regulations, and professional rules in performing advisory services; and</w:t>
      </w:r>
    </w:p>
    <w:p>
      <w:pPr>
        <w:numPr>
          <w:ilvl w:val="0"/>
          <w:numId w:val="1011"/>
        </w:numPr>
      </w:pPr>
      <w:r>
        <w:rPr>
          <w:rFonts w:ascii="Times New Roman" w:hAnsi="Times New Roman"/>
          <w:sz w:val="22"/>
        </w:rPr>
        <w:t>The Advisor is not subject to any sanctions, embargoes, or restrictions that would prevent the Advisor from performing services for the Company.</w:t>
      </w:r>
    </w:p>
    <w:bookmarkEnd w:id="19"/>
    <w:bookmarkStart w:id="20" w:name="non-solicitation"/>
    <w:p>
      <w:pPr>
        <w:pStyle w:val="Heading2"/>
      </w:pPr>
      <w:r>
        <w:t>12. NON-SOLICITATION</w:t>
      </w:r>
    </w:p>
    <w:p>
      <w:pPr>
        <w:pStyle w:val="FirstParagraph"/>
      </w:pPr>
      <w:r>
        <w:rPr>
          <w:rFonts w:ascii="Times New Roman" w:hAnsi="Times New Roman"/>
          <w:sz w:val="22"/>
        </w:rPr>
        <w:t>During the Term and for a period of 12 months following termination, the Advisor shall not, directly or indirectly, solicit, induce, recruit, or encourage any of the Company's employees, contractors, clients, or advisors to terminate their relationship with the Company or to accept employment or engagement with any other person or entity. This restriction does not prohibit general solicitations not targeted at such persons.</w:t>
      </w:r>
    </w:p>
    <w:bookmarkEnd w:id="20"/>
    <w:bookmarkStart w:id="21" w:name="termination"/>
    <w:p>
      <w:pPr>
        <w:pStyle w:val="Heading2"/>
      </w:pPr>
      <w:r>
        <w:t>13. TERMINATION</w:t>
      </w:r>
    </w:p>
    <w:p>
      <w:pPr>
        <w:numPr>
          <w:ilvl w:val="0"/>
          <w:numId w:val="1012"/>
        </w:numPr>
      </w:pPr>
      <w:r>
        <w:rPr>
          <w:rFonts w:ascii="Times New Roman" w:hAnsi="Times New Roman"/>
          <w:b/>
          <w:bCs/>
          <w:sz w:val="22"/>
        </w:rPr>
        <w:t>By Either Party.</w:t>
      </w:r>
      <w:r>
        <w:rPr>
          <w:rFonts w:ascii="Times New Roman" w:hAnsi="Times New Roman"/>
          <w:sz w:val="22"/>
        </w:rPr>
        <w:t xml:space="preserve"> </w:t>
      </w:r>
      <w:r>
        <w:rPr>
          <w:rFonts w:ascii="Times New Roman" w:hAnsi="Times New Roman"/>
          <w:sz w:val="22"/>
        </w:rPr>
        <w:t>Either party may terminate this Agreement with 30 days' written notice.</w:t>
      </w:r>
    </w:p>
    <w:p>
      <w:pPr>
        <w:numPr>
          <w:ilvl w:val="0"/>
          <w:numId w:val="1012"/>
        </w:numPr>
      </w:pPr>
      <w:r>
        <w:rPr>
          <w:rFonts w:ascii="Times New Roman" w:hAnsi="Times New Roman"/>
          <w:b/>
          <w:bCs/>
          <w:sz w:val="22"/>
        </w:rPr>
        <w:t>For Cause.</w:t>
      </w:r>
      <w:r>
        <w:rPr>
          <w:rFonts w:ascii="Times New Roman" w:hAnsi="Times New Roman"/>
          <w:sz w:val="22"/>
        </w:rPr>
        <w:t xml:space="preserve"> </w:t>
      </w:r>
      <w:r>
        <w:rPr>
          <w:rFonts w:ascii="Times New Roman" w:hAnsi="Times New Roman"/>
          <w:sz w:val="22"/>
        </w:rPr>
        <w:t>The Company may terminate this Agreement immediately upon written notice if the Advisor materially breaches this Agreement and fails to cure such breach within 10 business days after receiving written notice.</w:t>
      </w:r>
    </w:p>
    <w:p>
      <w:pPr>
        <w:numPr>
          <w:ilvl w:val="0"/>
          <w:numId w:val="1012"/>
        </w:numPr>
      </w:pPr>
      <w:r>
        <w:rPr>
          <w:rFonts w:ascii="Times New Roman" w:hAnsi="Times New Roman"/>
          <w:b/>
          <w:bCs/>
          <w:sz w:val="22"/>
        </w:rPr>
        <w:t>Effect of Termination.</w:t>
      </w:r>
      <w:r>
        <w:rPr>
          <w:rFonts w:ascii="Times New Roman" w:hAnsi="Times New Roman"/>
          <w:sz w:val="22"/>
        </w:rPr>
        <w:t xml:space="preserve"> </w:t>
      </w:r>
      <w:r>
        <w:rPr>
          <w:rFonts w:ascii="Times New Roman" w:hAnsi="Times New Roman"/>
          <w:sz w:val="22"/>
        </w:rPr>
        <w:t>Upon termination, all unvested Shares shall be forfeited. Vested Shares, earned commissions, and accrued fees remain payable subject to clawback and set-off rights.</w:t>
      </w:r>
    </w:p>
    <w:bookmarkEnd w:id="21"/>
    <w:bookmarkStart w:id="22" w:name="company-buyback-right"/>
    <w:p>
      <w:pPr>
        <w:pStyle w:val="Heading2"/>
      </w:pPr>
      <w:r>
        <w:t>14. COMPANY BUYBACK RIGHT</w:t>
      </w:r>
    </w:p>
    <w:p>
      <w:pPr>
        <w:numPr>
          <w:ilvl w:val="0"/>
          <w:numId w:val="1013"/>
        </w:numPr>
      </w:pPr>
      <w:r>
        <w:rPr>
          <w:rFonts w:ascii="Times New Roman" w:hAnsi="Times New Roman"/>
          <w:b/>
          <w:bCs/>
          <w:sz w:val="22"/>
        </w:rPr>
        <w:t>Right of First Refusal.</w:t>
      </w:r>
      <w:r>
        <w:rPr>
          <w:rFonts w:ascii="Times New Roman" w:hAnsi="Times New Roman"/>
          <w:sz w:val="22"/>
        </w:rPr>
        <w:t xml:space="preserve"> </w:t>
      </w:r>
      <w:r>
        <w:rPr>
          <w:rFonts w:ascii="Times New Roman" w:hAnsi="Times New Roman"/>
          <w:sz w:val="22"/>
        </w:rPr>
        <w:t>The Company shall have the first right to purchase any vested Shares proposed to be sold or transferred by the Advisor ("Right of First Refusal").</w:t>
      </w:r>
    </w:p>
    <w:p>
      <w:pPr>
        <w:numPr>
          <w:ilvl w:val="0"/>
          <w:numId w:val="1013"/>
        </w:numPr>
      </w:pPr>
      <w:r>
        <w:rPr>
          <w:rFonts w:ascii="Times New Roman" w:hAnsi="Times New Roman"/>
          <w:b/>
          <w:bCs/>
          <w:sz w:val="22"/>
        </w:rPr>
        <w:t>Notice.</w:t>
      </w:r>
      <w:r>
        <w:rPr>
          <w:rFonts w:ascii="Times New Roman" w:hAnsi="Times New Roman"/>
          <w:sz w:val="22"/>
        </w:rPr>
        <w:t xml:space="preserve"> </w:t>
      </w:r>
      <w:r>
        <w:rPr>
          <w:rFonts w:ascii="Times New Roman" w:hAnsi="Times New Roman"/>
          <w:sz w:val="22"/>
        </w:rPr>
        <w:t>If the Advisor receives a bona fide third-party offer to purchase vested Shares, the Advisor shall deliver written notice to the Company describing the offer in reasonable detail, including the number of Shares, the purchase price, and the identity of the proposed purchaser.</w:t>
      </w:r>
    </w:p>
    <w:p>
      <w:pPr>
        <w:numPr>
          <w:ilvl w:val="0"/>
          <w:numId w:val="1013"/>
        </w:numPr>
      </w:pPr>
      <w:r>
        <w:rPr>
          <w:rFonts w:ascii="Times New Roman" w:hAnsi="Times New Roman"/>
          <w:b/>
          <w:bCs/>
          <w:sz w:val="22"/>
        </w:rPr>
        <w:t>Company Election.</w:t>
      </w:r>
      <w:r>
        <w:rPr>
          <w:rFonts w:ascii="Times New Roman" w:hAnsi="Times New Roman"/>
          <w:sz w:val="22"/>
        </w:rPr>
        <w:t xml:space="preserve"> </w:t>
      </w:r>
      <w:r>
        <w:rPr>
          <w:rFonts w:ascii="Times New Roman" w:hAnsi="Times New Roman"/>
          <w:sz w:val="22"/>
        </w:rPr>
        <w:t>Within 30 days of receiving such notice, the Company may elect to purchase the Shares on the same terms and conditions as the third-party offer, or, if no third-party offer exists, at fair market value as determined in good faith by the Company's board of directors.</w:t>
      </w:r>
    </w:p>
    <w:p>
      <w:pPr>
        <w:numPr>
          <w:ilvl w:val="0"/>
          <w:numId w:val="1013"/>
        </w:numPr>
      </w:pPr>
      <w:r>
        <w:rPr>
          <w:rFonts w:ascii="Times New Roman" w:hAnsi="Times New Roman"/>
          <w:b/>
          <w:bCs/>
          <w:sz w:val="22"/>
        </w:rPr>
        <w:t>Definitive Terms.</w:t>
      </w:r>
      <w:r>
        <w:rPr>
          <w:rFonts w:ascii="Times New Roman" w:hAnsi="Times New Roman"/>
          <w:sz w:val="22"/>
        </w:rPr>
        <w:t xml:space="preserve"> </w:t>
      </w:r>
      <w:r>
        <w:rPr>
          <w:rFonts w:ascii="Times New Roman" w:hAnsi="Times New Roman"/>
          <w:sz w:val="22"/>
        </w:rPr>
        <w:t>The mechanics of the Right of First Refusal shall be set out in the definitive Shareholders Agreement or other equity documentation.</w:t>
      </w:r>
    </w:p>
    <w:bookmarkEnd w:id="22"/>
    <w:bookmarkStart w:id="23" w:name="indemnification"/>
    <w:p>
      <w:pPr>
        <w:pStyle w:val="Heading2"/>
      </w:pPr>
      <w:r>
        <w:t>15. INDEMNIFICATION</w:t>
      </w:r>
    </w:p>
    <w:p>
      <w:pPr>
        <w:pStyle w:val="FirstParagraph"/>
      </w:pPr>
      <w:r>
        <w:rPr>
          <w:rFonts w:ascii="Times New Roman" w:hAnsi="Times New Roman"/>
          <w:sz w:val="22"/>
        </w:rPr>
        <w:t>The Advisor shall indemnify and hold harmless the Company and its directors, officers, employees, and agents from and against any and all claims, damages, losses, liabilities, costs, and expenses (including reasonable legal fees) arising out of or relating to: (a) any breach by the Advisor of this Agreement; (b) any negligent or wrongful act or omission by the Advisor; or (c) any breach of the Advisor's representations or warranties.</w:t>
      </w:r>
    </w:p>
    <w:bookmarkEnd w:id="23"/>
    <w:bookmarkStart w:id="24" w:name="limitation-of-liability"/>
    <w:p>
      <w:pPr>
        <w:pStyle w:val="Heading2"/>
      </w:pPr>
      <w:r>
        <w:t>16. LIMITATION OF LIABILITY</w:t>
      </w:r>
    </w:p>
    <w:p>
      <w:pPr>
        <w:pStyle w:val="FirstParagraph"/>
      </w:pPr>
      <w:r>
        <w:rPr>
          <w:rFonts w:ascii="Times New Roman" w:hAnsi="Times New Roman"/>
          <w:sz w:val="22"/>
        </w:rPr>
        <w:t>In no event shall either party be liable to the other for any indirect, incidental, special, consequential, or punitive damages, including lost profits, arising out of or relating to this Agreement, even if advised of the possibility of such damages. The Company's aggregate liability under this Agreement shall not exceed the total amount of fees paid or payable to the Advisor under this Agreement in the 12 months preceding the claim.</w:t>
      </w:r>
    </w:p>
    <w:bookmarkEnd w:id="24"/>
    <w:bookmarkStart w:id="25" w:name="dispute-resolution"/>
    <w:p>
      <w:pPr>
        <w:pStyle w:val="Heading2"/>
      </w:pPr>
      <w:r>
        <w:t>17. DISPUTE RESOLUTION</w:t>
      </w:r>
    </w:p>
    <w:p>
      <w:pPr>
        <w:numPr>
          <w:ilvl w:val="0"/>
          <w:numId w:val="1014"/>
        </w:numPr>
      </w:pPr>
      <w:r>
        <w:rPr>
          <w:rFonts w:ascii="Times New Roman" w:hAnsi="Times New Roman"/>
          <w:b/>
          <w:bCs/>
          <w:sz w:val="22"/>
        </w:rPr>
        <w:t>Negotiation.</w:t>
      </w:r>
      <w:r>
        <w:rPr>
          <w:rFonts w:ascii="Times New Roman" w:hAnsi="Times New Roman"/>
          <w:sz w:val="22"/>
        </w:rPr>
        <w:t xml:space="preserve"> </w:t>
      </w:r>
      <w:r>
        <w:rPr>
          <w:rFonts w:ascii="Times New Roman" w:hAnsi="Times New Roman"/>
          <w:sz w:val="22"/>
        </w:rPr>
        <w:t>The parties shall first attempt to resolve any dispute arising out of or relating to this Agreement through good-faith negotiation.</w:t>
      </w:r>
    </w:p>
    <w:p>
      <w:pPr>
        <w:numPr>
          <w:ilvl w:val="0"/>
          <w:numId w:val="1014"/>
        </w:numPr>
      </w:pPr>
      <w:r>
        <w:rPr>
          <w:rFonts w:ascii="Times New Roman" w:hAnsi="Times New Roman"/>
          <w:b/>
          <w:bCs/>
          <w:sz w:val="22"/>
        </w:rPr>
        <w:t>Mediation.</w:t>
      </w:r>
      <w:r>
        <w:rPr>
          <w:rFonts w:ascii="Times New Roman" w:hAnsi="Times New Roman"/>
          <w:sz w:val="22"/>
        </w:rPr>
        <w:t xml:space="preserve"> </w:t>
      </w:r>
      <w:r>
        <w:rPr>
          <w:rFonts w:ascii="Times New Roman" w:hAnsi="Times New Roman"/>
          <w:sz w:val="22"/>
        </w:rPr>
        <w:t>If the dispute cannot be resolved through negotiation within 30 days, either party may submit the dispute to non-binding mediation in Calgary, Alberta.</w:t>
      </w:r>
    </w:p>
    <w:p>
      <w:pPr>
        <w:numPr>
          <w:ilvl w:val="0"/>
          <w:numId w:val="1014"/>
        </w:numPr>
      </w:pPr>
      <w:r>
        <w:rPr>
          <w:rFonts w:ascii="Times New Roman" w:hAnsi="Times New Roman"/>
          <w:b/>
          <w:bCs/>
          <w:sz w:val="22"/>
        </w:rPr>
        <w:t>Arbitration.</w:t>
      </w:r>
      <w:r>
        <w:rPr>
          <w:rFonts w:ascii="Times New Roman" w:hAnsi="Times New Roman"/>
          <w:sz w:val="22"/>
        </w:rPr>
        <w:t xml:space="preserve"> </w:t>
      </w:r>
      <w:r>
        <w:rPr>
          <w:rFonts w:ascii="Times New Roman" w:hAnsi="Times New Roman"/>
          <w:sz w:val="22"/>
        </w:rPr>
        <w:t>If mediation does not resolve the dispute, either party may pursue binding arbitration in Calgary, Alberta, in accordance with the Arbitration Act of Alberta. The arbitrator's decision shall be final and binding.</w:t>
      </w:r>
    </w:p>
    <w:bookmarkEnd w:id="25"/>
    <w:bookmarkStart w:id="26" w:name="general-provisions"/>
    <w:p>
      <w:pPr>
        <w:pStyle w:val="Heading2"/>
      </w:pPr>
      <w:r>
        <w:t>18. GENERAL PROVISIONS</w:t>
      </w:r>
    </w:p>
    <w:p>
      <w:pPr>
        <w:numPr>
          <w:ilvl w:val="0"/>
          <w:numId w:val="1015"/>
        </w:numPr>
      </w:pPr>
      <w:r>
        <w:rPr>
          <w:rFonts w:ascii="Times New Roman" w:hAnsi="Times New Roman"/>
          <w:b/>
          <w:bCs/>
          <w:sz w:val="22"/>
        </w:rPr>
        <w:t>Entire Agreement.</w:t>
      </w:r>
      <w:r>
        <w:rPr>
          <w:rFonts w:ascii="Times New Roman" w:hAnsi="Times New Roman"/>
          <w:sz w:val="22"/>
        </w:rPr>
        <w:t xml:space="preserve"> </w:t>
      </w:r>
      <w:r>
        <w:rPr>
          <w:rFonts w:ascii="Times New Roman" w:hAnsi="Times New Roman"/>
          <w:sz w:val="22"/>
        </w:rPr>
        <w:t>This Agreement constitutes the entire agreement between the parties with respect to the subject matter hereof and supersedes all prior agreements, understandings, negotiations, and discussions, whether oral or written.</w:t>
      </w:r>
    </w:p>
    <w:p>
      <w:pPr>
        <w:numPr>
          <w:ilvl w:val="0"/>
          <w:numId w:val="1015"/>
        </w:numPr>
      </w:pPr>
      <w:r>
        <w:rPr>
          <w:rFonts w:ascii="Times New Roman" w:hAnsi="Times New Roman"/>
          <w:b/>
          <w:bCs/>
          <w:sz w:val="22"/>
        </w:rPr>
        <w:t>Amendment.</w:t>
      </w:r>
      <w:r>
        <w:rPr>
          <w:rFonts w:ascii="Times New Roman" w:hAnsi="Times New Roman"/>
          <w:sz w:val="22"/>
        </w:rPr>
        <w:t xml:space="preserve"> </w:t>
      </w:r>
      <w:r>
        <w:rPr>
          <w:rFonts w:ascii="Times New Roman" w:hAnsi="Times New Roman"/>
          <w:sz w:val="22"/>
        </w:rPr>
        <w:t>No amendment or modification of this Agreement shall be valid unless in writing and signed by both parties.</w:t>
      </w:r>
    </w:p>
    <w:p>
      <w:pPr>
        <w:numPr>
          <w:ilvl w:val="0"/>
          <w:numId w:val="1015"/>
        </w:numPr>
      </w:pPr>
      <w:r>
        <w:rPr>
          <w:rFonts w:ascii="Times New Roman" w:hAnsi="Times New Roman"/>
          <w:b/>
          <w:bCs/>
          <w:sz w:val="22"/>
        </w:rPr>
        <w:t>Waiver.</w:t>
      </w:r>
      <w:r>
        <w:rPr>
          <w:rFonts w:ascii="Times New Roman" w:hAnsi="Times New Roman"/>
          <w:sz w:val="22"/>
        </w:rPr>
        <w:t xml:space="preserve"> </w:t>
      </w:r>
      <w:r>
        <w:rPr>
          <w:rFonts w:ascii="Times New Roman" w:hAnsi="Times New Roman"/>
          <w:sz w:val="22"/>
        </w:rPr>
        <w:t>No waiver of any provision of this Agreement shall be effective unless in writing. A waiver of any breach shall not constitute a waiver of any subsequent breach.</w:t>
      </w:r>
    </w:p>
    <w:p>
      <w:pPr>
        <w:numPr>
          <w:ilvl w:val="0"/>
          <w:numId w:val="1015"/>
        </w:numPr>
      </w:pPr>
      <w:r>
        <w:rPr>
          <w:rFonts w:ascii="Times New Roman" w:hAnsi="Times New Roman"/>
          <w:b/>
          <w:bCs/>
          <w:sz w:val="22"/>
        </w:rPr>
        <w:t>Severability.</w:t>
      </w:r>
      <w:r>
        <w:rPr>
          <w:rFonts w:ascii="Times New Roman" w:hAnsi="Times New Roman"/>
          <w:sz w:val="22"/>
        </w:rPr>
        <w:t xml:space="preserve"> </w:t>
      </w:r>
      <w:r>
        <w:rPr>
          <w:rFonts w:ascii="Times New Roman" w:hAnsi="Times New Roman"/>
          <w:sz w:val="22"/>
        </w:rPr>
        <w:t>If any provision of this Agreement is held to be invalid or unenforceable, the remaining provisions shall continue in full force and effect.</w:t>
      </w:r>
    </w:p>
    <w:p>
      <w:pPr>
        <w:numPr>
          <w:ilvl w:val="0"/>
          <w:numId w:val="1015"/>
        </w:numPr>
      </w:pPr>
      <w:r>
        <w:rPr>
          <w:rFonts w:ascii="Times New Roman" w:hAnsi="Times New Roman"/>
          <w:b/>
          <w:bCs/>
          <w:sz w:val="22"/>
        </w:rPr>
        <w:t>Assignment.</w:t>
      </w:r>
      <w:r>
        <w:rPr>
          <w:rFonts w:ascii="Times New Roman" w:hAnsi="Times New Roman"/>
          <w:sz w:val="22"/>
        </w:rPr>
        <w:t xml:space="preserve"> </w:t>
      </w:r>
      <w:r>
        <w:rPr>
          <w:rFonts w:ascii="Times New Roman" w:hAnsi="Times New Roman"/>
          <w:sz w:val="22"/>
        </w:rPr>
        <w:t>The Advisor may not assign this Agreement without the Company's prior written consent. The Company may assign this Agreement to an Affiliate or successor without the Advisor's consent.</w:t>
      </w:r>
    </w:p>
    <w:p>
      <w:pPr>
        <w:numPr>
          <w:ilvl w:val="0"/>
          <w:numId w:val="1015"/>
        </w:numPr>
      </w:pPr>
      <w:r>
        <w:rPr>
          <w:rFonts w:ascii="Times New Roman" w:hAnsi="Times New Roman"/>
          <w:b/>
          <w:bCs/>
          <w:sz w:val="22"/>
        </w:rPr>
        <w:t>Survival.</w:t>
      </w:r>
      <w:r>
        <w:rPr>
          <w:rFonts w:ascii="Times New Roman" w:hAnsi="Times New Roman"/>
          <w:sz w:val="22"/>
        </w:rPr>
        <w:t xml:space="preserve"> </w:t>
      </w:r>
      <w:r>
        <w:rPr>
          <w:rFonts w:ascii="Times New Roman" w:hAnsi="Times New Roman"/>
          <w:sz w:val="22"/>
        </w:rPr>
        <w:t>Sections 9 (Confidentiality), 10 (Intellectual Property), 12 (Non-Solicitation), 15 (Indemnification), 16 (Limitation of Liability), 17 (Dispute Resolution), 18 (General Provisions), and 19 (Notices) shall survive termination of this Agreement.</w:t>
      </w:r>
    </w:p>
    <w:bookmarkEnd w:id="26"/>
    <w:bookmarkStart w:id="27" w:name="notices"/>
    <w:p>
      <w:pPr>
        <w:pStyle w:val="Heading2"/>
      </w:pPr>
      <w:r>
        <w:t>19. NOTICES</w:t>
      </w:r>
    </w:p>
    <w:p>
      <w:pPr>
        <w:pStyle w:val="FirstParagraph"/>
      </w:pPr>
      <w:r>
        <w:rPr>
          <w:rFonts w:ascii="Times New Roman" w:hAnsi="Times New Roman"/>
          <w:sz w:val="22"/>
        </w:rPr>
        <w:t>Any notice required or permitted under this Agreement shall be in writing and delivered personally, by email with read receipt, or by prepaid registered mail to the addresses set out above or to such other address as a party may designate in writing. Email notice shall be deemed received on the next business day if sent before 5:00 p.m. local time, or the second business day if sent thereafter.</w:t>
      </w:r>
    </w:p>
    <w:bookmarkEnd w:id="27"/>
    <w:bookmarkStart w:id="28" w:name="governing-law"/>
    <w:p>
      <w:pPr>
        <w:pStyle w:val="Heading2"/>
      </w:pPr>
      <w:r>
        <w:t>20. GOVERNING LAW</w:t>
      </w:r>
    </w:p>
    <w:p>
      <w:pPr>
        <w:pStyle w:val="FirstParagraph"/>
      </w:pPr>
      <w:r>
        <w:rPr>
          <w:rFonts w:ascii="Times New Roman" w:hAnsi="Times New Roman"/>
          <w:sz w:val="22"/>
        </w:rPr>
        <w:t>This Agreement shall be governed by and construed in accordance with the laws of the Province of Alberta and the federal laws of Canada applicable therein.</w:t>
      </w:r>
    </w:p>
    <w:p>
      <w:r>
        <w:rPr>
          <w:rFonts w:ascii="Times New Roman" w:hAnsi="Times New Roman"/>
          <w:sz w:val="22"/>
        </w:rPr>
      </w:r>
    </w:p>
    <w:p>
      <w:pPr>
        <w:pStyle w:val="FirstParagraph"/>
      </w:pPr>
      <w:r>
        <w:rPr>
          <w:rFonts w:ascii="Times New Roman" w:hAnsi="Times New Roman"/>
          <w:b/>
          <w:bCs/>
          <w:sz w:val="22"/>
        </w:rPr>
        <w:t>IN WITNESS WHEREOF</w:t>
      </w:r>
      <w:r>
        <w:rPr>
          <w:rFonts w:ascii="Times New Roman" w:hAnsi="Times New Roman"/>
          <w:sz w:val="22"/>
        </w:rPr>
        <w:t>, the parties have executed this Agreement as of the Effective Date.</w:t>
      </w:r>
    </w:p>
    <w:p>
      <w:pPr>
        <w:pStyle w:val="BodyText"/>
      </w:pPr>
      <w:r>
        <w:rPr>
          <w:rFonts w:ascii="Times New Roman" w:hAnsi="Times New Roman"/>
          <w:b/>
          <w:bCs/>
          <w:sz w:val="22"/>
        </w:rPr>
        <w:t>OCTION LABS INC.</w:t>
      </w:r>
    </w:p>
    <w:p>
      <w:pPr>
        <w:pStyle w:val="BodyText"/>
      </w:pPr>
      <w:r>
        <w:rPr>
          <w:rFonts w:ascii="Times New Roman" w:hAnsi="Times New Roman"/>
          <w:sz w:val="22"/>
        </w:rPr>
        <w:t>Name: ________________________________</w:t>
      </w:r>
    </w:p>
    <w:p>
      <w:pPr>
        <w:pStyle w:val="BodyText"/>
      </w:pPr>
      <w:r>
        <w:rPr>
          <w:rFonts w:ascii="Times New Roman" w:hAnsi="Times New Roman"/>
          <w:sz w:val="22"/>
        </w:rPr>
        <w:t>Title: ________________________________</w:t>
      </w:r>
    </w:p>
    <w:p>
      <w:pPr>
        <w:pStyle w:val="BodyText"/>
      </w:pPr>
      <w:r>
        <w:rPr>
          <w:rFonts w:ascii="Times New Roman" w:hAnsi="Times New Roman"/>
          <w:sz w:val="22"/>
        </w:rPr>
        <w:t>Date: ________________________________</w:t>
      </w:r>
    </w:p>
    <w:p>
      <w:pPr>
        <w:pStyle w:val="BodyText"/>
      </w:pPr>
      <w:r>
        <w:rPr>
          <w:rFonts w:ascii="Times New Roman" w:hAnsi="Times New Roman"/>
          <w:b/>
          <w:bCs/>
          <w:sz w:val="22"/>
        </w:rPr>
        <w:t>BARINDER BHULLAR</w:t>
      </w:r>
    </w:p>
    <w:p>
      <w:pPr>
        <w:pStyle w:val="BodyText"/>
      </w:pPr>
      <w:r>
        <w:rPr>
          <w:rFonts w:ascii="Times New Roman" w:hAnsi="Times New Roman"/>
          <w:sz w:val="22"/>
        </w:rPr>
        <w:t>Signature: ________________________________</w:t>
      </w:r>
    </w:p>
    <w:p>
      <w:pPr>
        <w:pStyle w:val="BodyText"/>
      </w:pPr>
      <w:r>
        <w:rPr>
          <w:rFonts w:ascii="Times New Roman" w:hAnsi="Times New Roman"/>
          <w:sz w:val="22"/>
        </w:rPr>
        <w:t>Date: ________________________________</w:t>
      </w:r>
    </w:p>
    <w:p>
      <w:r>
        <w:rPr>
          <w:rFonts w:ascii="Times New Roman" w:hAnsi="Times New Roman"/>
          <w:sz w:val="22"/>
        </w:rPr>
      </w:r>
    </w:p>
    <w:bookmarkEnd w:id="28"/>
    <w:bookmarkStart w:id="29" w:name="schedule-a---milestones"/>
    <w:p>
      <w:pPr>
        <w:pStyle w:val="Heading2"/>
      </w:pPr>
      <w:r>
        <w:t>SCHEDULE A - MILESTONES</w:t>
      </w:r>
    </w:p>
    <w:tbl>
      <w:tblPr>
        <w:tblStyle w:val="Table"/>
        <w:tblW w:type="pct" w:w="5000"/>
        <w:tblLayout w:type="fixed"/>
        <w:tblLook w:firstRow="1" w:lastRow="0" w:firstColumn="0" w:lastColumn="0" w:noHBand="0" w:noVBand="0" w:val="0020"/>
      </w:tblPr>
      <w:tblGrid>
        <w:gridCol w:w="792"/>
        <w:gridCol w:w="648"/>
        <w:gridCol w:w="6480"/>
      </w:tblGrid>
      <w:tr>
        <w:trPr>
          <w:tblHeader w:val="on"/>
        </w:trPr>
        <w:tc>
          <w:tcPr/>
          <w:p>
            <w:pPr>
              <w:pStyle w:val="Compact"/>
            </w:pPr>
            <w:r>
              <w:t>Milestone</w:t>
            </w:r>
          </w:p>
        </w:tc>
        <w:tc>
          <w:tcPr/>
          <w:p>
            <w:pPr>
              <w:pStyle w:val="Compact"/>
            </w:pPr>
            <w:r>
              <w:t>Vesting</w:t>
            </w:r>
          </w:p>
        </w:tc>
        <w:tc>
          <w:tcPr/>
          <w:p>
            <w:pPr>
              <w:pStyle w:val="Compact"/>
            </w:pPr>
            <w:r>
              <w:t>Description</w:t>
            </w:r>
          </w:p>
        </w:tc>
      </w:tr>
      <w:tr>
        <w:tc>
          <w:tcPr/>
          <w:p>
            <w:pPr>
              <w:pStyle w:val="Compact"/>
            </w:pPr>
            <w:r>
              <w:t>Milestone 1</w:t>
            </w:r>
          </w:p>
        </w:tc>
        <w:tc>
          <w:tcPr/>
          <w:p>
            <w:pPr>
              <w:pStyle w:val="Compact"/>
            </w:pPr>
            <w:r>
              <w:t>0.5625%</w:t>
            </w:r>
          </w:p>
        </w:tc>
        <w:tc>
          <w:tcPr/>
          <w:p>
            <w:pPr>
              <w:pStyle w:val="Compact"/>
            </w:pPr>
            <w:r>
              <w:t>Execution of a client services agreement between the Company and a healthcare or government entity introduced by the Advisor</w:t>
            </w:r>
          </w:p>
        </w:tc>
      </w:tr>
      <w:tr>
        <w:tc>
          <w:tcPr/>
          <w:p>
            <w:pPr>
              <w:pStyle w:val="Compact"/>
            </w:pPr>
            <w:r>
              <w:t>Milestone 2</w:t>
            </w:r>
          </w:p>
        </w:tc>
        <w:tc>
          <w:tcPr/>
          <w:p>
            <w:pPr>
              <w:pStyle w:val="Compact"/>
            </w:pPr>
            <w:r>
              <w:t>0.5625%</w:t>
            </w:r>
          </w:p>
        </w:tc>
        <w:tc>
          <w:tcPr/>
          <w:p>
            <w:pPr>
              <w:pStyle w:val="Compact"/>
            </w:pPr>
            <w:r>
              <w:t>Execution of an Advisor Agreement between the Company and one or more strategic advisors introduced by the Advisor</w:t>
            </w:r>
          </w:p>
        </w:tc>
      </w:tr>
      <w:tr>
        <w:tc>
          <w:tcPr/>
          <w:p>
            <w:pPr>
              <w:pStyle w:val="Compact"/>
            </w:pPr>
            <w:r>
              <w:t>Milestone 3</w:t>
            </w:r>
          </w:p>
        </w:tc>
        <w:tc>
          <w:tcPr/>
          <w:p>
            <w:pPr>
              <w:pStyle w:val="Compact"/>
            </w:pPr>
            <w:r>
              <w:t>0.5625%</w:t>
            </w:r>
          </w:p>
        </w:tc>
        <w:tc>
          <w:tcPr/>
          <w:p>
            <w:pPr>
              <w:pStyle w:val="Compact"/>
            </w:pPr>
            <w:r>
              <w:t>Execution of a client contract with an initial contract value of at least CAD $100,000 attributable to the Advisor</w:t>
            </w:r>
          </w:p>
        </w:tc>
      </w:tr>
      <w:tr>
        <w:tc>
          <w:tcPr/>
          <w:p>
            <w:pPr>
              <w:pStyle w:val="Compact"/>
            </w:pPr>
            <w:r>
              <w:t>Milestone 4</w:t>
            </w:r>
          </w:p>
        </w:tc>
        <w:tc>
          <w:tcPr/>
          <w:p>
            <w:pPr>
              <w:pStyle w:val="Compact"/>
            </w:pPr>
            <w:r>
              <w:t>0.5625%</w:t>
            </w:r>
          </w:p>
        </w:tc>
        <w:tc>
          <w:tcPr/>
          <w:p>
            <w:pPr>
              <w:pStyle w:val="Compact"/>
            </w:pPr>
            <w:r>
              <w:t>Signed client engagement in a hard-to-access niche or sector introduced by the Advisor</w:t>
            </w:r>
          </w:p>
        </w:tc>
      </w:tr>
    </w:tbl>
    <w:bookmarkEnd w:id="29"/>
    <w:bookmarkEnd w:id="30"/>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731">
    <w:nsid w:val="00A99731"/>
    <w:multiLevelType w:val="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99733">
    <w:nsid w:val="00A99733"/>
    <w:multiLevelType w:val="multilevel"/>
    <w:lvl w:ilvl="0">
      <w:start w:val="3"/>
      <w:numFmt w:val="lowerLetter"/>
      <w:lvlText w:val="(%1)"/>
      <w:lvlJc w:val="left"/>
      <w:pPr>
        <w:ind w:left="720" w:hanging="360"/>
      </w:pPr>
    </w:lvl>
    <w:lvl w:ilvl="1">
      <w:start w:val="3"/>
      <w:numFmt w:val="lowerLetter"/>
      <w:lvlText w:val="(%2)"/>
      <w:lvlJc w:val="left"/>
      <w:pPr>
        <w:ind w:left="1440" w:hanging="360"/>
      </w:pPr>
    </w:lvl>
    <w:lvl w:ilvl="2">
      <w:start w:val="3"/>
      <w:numFmt w:val="lowerLetter"/>
      <w:lvlText w:val="(%3)"/>
      <w:lvlJc w:val="left"/>
      <w:pPr>
        <w:ind w:left="2160" w:hanging="360"/>
      </w:pPr>
    </w:lvl>
    <w:lvl w:ilvl="3">
      <w:start w:val="3"/>
      <w:numFmt w:val="lowerLetter"/>
      <w:lvlText w:val="(%4)"/>
      <w:lvlJc w:val="left"/>
      <w:pPr>
        <w:ind w:left="2880" w:hanging="360"/>
      </w:pPr>
    </w:lvl>
    <w:lvl w:ilvl="4">
      <w:start w:val="3"/>
      <w:numFmt w:val="lowerLetter"/>
      <w:lvlText w:val="(%5)"/>
      <w:lvlJc w:val="left"/>
      <w:pPr>
        <w:ind w:left="3600" w:hanging="360"/>
      </w:pPr>
    </w:lvl>
    <w:lvl w:ilvl="5">
      <w:start w:val="3"/>
      <w:numFmt w:val="lowerLetter"/>
      <w:lvlText w:val="(%6)"/>
      <w:lvlJc w:val="left"/>
      <w:pPr>
        <w:ind w:left="4320" w:hanging="360"/>
      </w:pPr>
    </w:lvl>
    <w:lvl w:ilvl="6">
      <w:start w:val="3"/>
      <w:numFmt w:val="lowerLetter"/>
      <w:lvlText w:val="(%7)"/>
      <w:lvlJc w:val="left"/>
      <w:pPr>
        <w:ind w:left="5040" w:hanging="360"/>
      </w:pPr>
    </w:lvl>
    <w:lvl w:ilvl="7">
      <w:start w:val="3"/>
      <w:numFmt w:val="lowerLetter"/>
      <w:lvlText w:val="(%8)"/>
      <w:lvlJc w:val="left"/>
      <w:pPr>
        <w:ind w:left="5760" w:hanging="360"/>
      </w:pPr>
    </w:lvl>
    <w:lvl w:ilvl="8">
      <w:start w:val="3"/>
      <w:numFmt w:val="lowerLetter"/>
      <w:lvlText w:val="(%9)"/>
      <w:lvlJc w:val="left"/>
      <w:pPr>
        <w:ind w:left="6480" w:hanging="360"/>
      </w:pPr>
    </w:lvl>
  </w:abstractNum>
  <w:num w:numId="1000">
    <w:abstractNumId w:val="990"/>
  </w:num>
  <w:num w:numId="1001">
    <w:abstractNumId w:val="991"/>
  </w:num>
  <w:num w:numId="1002">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7">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pPr>
      <w:spacing w:line="276" w:lineRule="auto"/>
    </w:pPr>
    <w:rPr>
      <w:rFonts w:ascii="Times New Roman" w:hAnsi="Times New Roman"/>
      <w:b w:val="0"/>
      <w:color w:val="000000"/>
      <w:sz w:val="22"/>
    </w:rPr>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200" w:before="360" w:line="276" w:lineRule="auto"/>
      <w:jc w:val="center"/>
      <w:outlineLvl w:val="0"/>
    </w:pPr>
    <w:rPr>
      <w:rFonts w:asciiTheme="majorHAnsi" w:cstheme="majorBidi" w:eastAsiaTheme="majorEastAsia" w:hAnsiTheme="majorHAnsi" w:ascii="Times New Roman" w:hAnsi="Times New Roman"/>
      <w:b/>
      <w:color w:val="000000"/>
      <w:sz w:val="32"/>
      <w:szCs w:val="40"/>
    </w:rPr>
  </w:style>
  <w:style w:styleId="Heading2" w:type="paragraph">
    <w:name w:val="heading 2"/>
    <w:basedOn w:val="Normal"/>
    <w:next w:val="BodyText"/>
    <w:link w:val="Heading2Char"/>
    <w:uiPriority w:val="9"/>
    <w:semiHidden/>
    <w:unhideWhenUsed/>
    <w:qFormat/>
    <w:rsid w:val="00A10FD9"/>
    <w:pPr>
      <w:keepNext/>
      <w:keepLines/>
      <w:spacing w:after="200" w:before="360" w:line="276" w:lineRule="auto"/>
      <w:outlineLvl w:val="1"/>
    </w:pPr>
    <w:rPr>
      <w:rFonts w:asciiTheme="majorHAnsi" w:cstheme="majorBidi" w:eastAsiaTheme="majorEastAsia" w:hAnsiTheme="majorHAnsi" w:ascii="Times New Roman" w:hAnsi="Times New Roman"/>
      <w:b/>
      <w:color w:val="000000"/>
      <w:sz w:val="26"/>
      <w:szCs w:val="32"/>
    </w:rPr>
  </w:style>
  <w:style w:styleId="Heading3" w:type="paragraph">
    <w:name w:val="heading 3"/>
    <w:basedOn w:val="Normal"/>
    <w:next w:val="BodyText"/>
    <w:link w:val="Heading3Char"/>
    <w:uiPriority w:val="9"/>
    <w:semiHidden/>
    <w:unhideWhenUsed/>
    <w:qFormat/>
    <w:rsid w:val="00A10FD9"/>
    <w:pPr>
      <w:keepNext/>
      <w:keepLines/>
      <w:spacing w:after="80" w:before="160" w:line="276" w:lineRule="auto"/>
      <w:outlineLvl w:val="2"/>
    </w:pPr>
    <w:rPr>
      <w:rFonts w:cstheme="majorBidi" w:eastAsiaTheme="majorEastAsia" w:ascii="Times New Roman" w:hAnsi="Times New Roman"/>
      <w:b/>
      <w:color w:val="000000"/>
      <w:sz w:val="22"/>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 w:type="paragraph" w:customStyle="1" w:styleId="ListParagraph">
    <w:name w:val="List Paragraph"/>
    <w:pPr>
      <w:spacing w:line="276" w:lineRule="auto"/>
    </w:pPr>
    <w:rPr>
      <w:rFonts w:ascii="Times New Roman" w:hAnsi="Times New Roman"/>
      <w:b w:val="0"/>
      <w:color w:val="000000"/>
      <w:sz w:val="22"/>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webSettings" Target="webSettings.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footnotes" Target="footnotes.xml"/><Relationship Id="rId1"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2026-08-25T08:14:32Z</dcterms:created>
  <dcterms:modified xsi:type="dcterms:W3CDTF">2026-08-25T08:14:32Z</dcterms:modified>
</cp:coreProperties>
</file>

<file path=docProps/custom.xml><?xml version="1.0" encoding="utf-8"?>
<Properties xmlns="http://schemas.openxmlformats.org/officeDocument/2006/custom-properties" xmlns:vt="http://schemas.openxmlformats.org/officeDocument/2006/docPropsVTypes"/>
</file>